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7372" w14:textId="77777777" w:rsidR="00E4761C" w:rsidRPr="00772686" w:rsidRDefault="00E4761C" w:rsidP="001040EC"/>
    <w:p w14:paraId="04C4C9AA" w14:textId="77777777" w:rsidR="001040EC" w:rsidRPr="00772686" w:rsidRDefault="001040EC" w:rsidP="001040EC"/>
    <w:p w14:paraId="0C792BF1" w14:textId="77777777" w:rsidR="00E4761C" w:rsidRPr="00772686" w:rsidRDefault="00E4761C" w:rsidP="00E4761C">
      <w:pPr>
        <w:jc w:val="center"/>
      </w:pPr>
    </w:p>
    <w:p w14:paraId="1F978456" w14:textId="77777777" w:rsidR="00E4761C" w:rsidRPr="00772686" w:rsidRDefault="00E4761C" w:rsidP="00E4761C">
      <w:pPr>
        <w:jc w:val="center"/>
      </w:pPr>
    </w:p>
    <w:p w14:paraId="12BC8B2C" w14:textId="0531EB73" w:rsidR="000D23D2" w:rsidRPr="00772686" w:rsidRDefault="00E8170F" w:rsidP="000D23D2">
      <w:pPr>
        <w:spacing w:line="480" w:lineRule="auto"/>
        <w:jc w:val="center"/>
        <w:rPr>
          <w:rStyle w:val="fnt0"/>
        </w:rPr>
      </w:pPr>
      <w:r w:rsidRPr="00772686">
        <w:rPr>
          <w:rStyle w:val="fnt0"/>
        </w:rPr>
        <w:t>Document Based Question Analysis Unit Plan</w:t>
      </w:r>
    </w:p>
    <w:p w14:paraId="6633C5BD" w14:textId="223BEDDA" w:rsidR="004A399A" w:rsidRPr="00772686" w:rsidRDefault="002E6740" w:rsidP="000D23D2">
      <w:pPr>
        <w:spacing w:line="480" w:lineRule="auto"/>
        <w:jc w:val="center"/>
        <w:rPr>
          <w:rStyle w:val="fnt0"/>
        </w:rPr>
      </w:pPr>
      <w:r w:rsidRPr="00772686">
        <w:rPr>
          <w:rStyle w:val="fnt0"/>
        </w:rPr>
        <w:t>Alexis Hoffmann</w:t>
      </w:r>
    </w:p>
    <w:p w14:paraId="6B35CAAF" w14:textId="77777777" w:rsidR="000D23D2" w:rsidRPr="00772686" w:rsidRDefault="00642947" w:rsidP="000D23D2">
      <w:pPr>
        <w:spacing w:line="480" w:lineRule="auto"/>
        <w:jc w:val="center"/>
        <w:rPr>
          <w:rStyle w:val="fnt0"/>
        </w:rPr>
      </w:pPr>
      <w:r w:rsidRPr="00772686">
        <w:rPr>
          <w:rStyle w:val="fnt0"/>
        </w:rPr>
        <w:t>OTL502</w:t>
      </w:r>
      <w:r w:rsidR="000D23D2" w:rsidRPr="00772686">
        <w:rPr>
          <w:rStyle w:val="fnt0"/>
        </w:rPr>
        <w:t xml:space="preserve"> – </w:t>
      </w:r>
      <w:r w:rsidRPr="00772686">
        <w:rPr>
          <w:rStyle w:val="fnt0"/>
        </w:rPr>
        <w:t>Learning Theories and Modules of Instruction</w:t>
      </w:r>
    </w:p>
    <w:p w14:paraId="09AD926A" w14:textId="77777777" w:rsidR="000D23D2" w:rsidRPr="00772686" w:rsidRDefault="000D23D2" w:rsidP="000D23D2">
      <w:pPr>
        <w:spacing w:line="480" w:lineRule="auto"/>
        <w:jc w:val="center"/>
        <w:rPr>
          <w:rStyle w:val="fnt0"/>
        </w:rPr>
      </w:pPr>
      <w:r w:rsidRPr="00772686">
        <w:rPr>
          <w:rStyle w:val="fnt0"/>
        </w:rPr>
        <w:t>Colorado State University – Global Campus</w:t>
      </w:r>
    </w:p>
    <w:p w14:paraId="62D6A347" w14:textId="1C1970F7" w:rsidR="000D23D2" w:rsidRPr="00772686" w:rsidRDefault="002E6740" w:rsidP="000D23D2">
      <w:pPr>
        <w:spacing w:line="480" w:lineRule="auto"/>
        <w:jc w:val="center"/>
        <w:rPr>
          <w:rStyle w:val="fnt0"/>
        </w:rPr>
      </w:pPr>
      <w:r w:rsidRPr="00772686">
        <w:rPr>
          <w:rStyle w:val="fnt0"/>
        </w:rPr>
        <w:t>Brenda Bagwell, PhD</w:t>
      </w:r>
    </w:p>
    <w:p w14:paraId="5F42D287" w14:textId="483D249F" w:rsidR="00E4761C" w:rsidRPr="00772686" w:rsidRDefault="00772686" w:rsidP="000D23D2">
      <w:pPr>
        <w:jc w:val="center"/>
      </w:pPr>
      <w:r>
        <w:rPr>
          <w:rStyle w:val="fnt0"/>
        </w:rPr>
        <w:t>7/14/17</w:t>
      </w:r>
    </w:p>
    <w:p w14:paraId="219368ED" w14:textId="77777777" w:rsidR="00B56D29" w:rsidRPr="00772686" w:rsidRDefault="009B5B1F" w:rsidP="00B56D29">
      <w:pPr>
        <w:jc w:val="both"/>
      </w:pPr>
      <w:r w:rsidRPr="00772686">
        <w:br w:type="page"/>
      </w:r>
    </w:p>
    <w:p w14:paraId="2F2D0472" w14:textId="7B8350D9" w:rsidR="00B56D29" w:rsidRPr="00772686" w:rsidRDefault="00B0601E" w:rsidP="00B56D29">
      <w:pPr>
        <w:jc w:val="center"/>
        <w:rPr>
          <w:b/>
        </w:rPr>
      </w:pPr>
      <w:r w:rsidRPr="00772686">
        <w:rPr>
          <w:b/>
        </w:rPr>
        <w:lastRenderedPageBreak/>
        <w:t>Document Based Question Analysis Unit</w:t>
      </w:r>
      <w:r w:rsidR="0089722C" w:rsidRPr="00772686">
        <w:rPr>
          <w:b/>
        </w:rPr>
        <w:br/>
      </w:r>
    </w:p>
    <w:p w14:paraId="1B142722" w14:textId="574E628D" w:rsidR="008E5298" w:rsidRPr="00772686" w:rsidRDefault="008E5298" w:rsidP="00524882">
      <w:pPr>
        <w:spacing w:line="480" w:lineRule="auto"/>
        <w:jc w:val="center"/>
        <w:rPr>
          <w:rFonts w:eastAsia="Georgia"/>
        </w:rPr>
      </w:pPr>
      <w:r w:rsidRPr="00772686">
        <w:rPr>
          <w:rFonts w:eastAsia="Georgia"/>
        </w:rPr>
        <w:t xml:space="preserve">The document based question (DBQ) is designed to test the student’s ability to simultaneously apply several historical thinking skills. These include historical argumentation, use of relevant historical evidence, contextualization, and synthesis. </w:t>
      </w:r>
      <w:r w:rsidRPr="00772686">
        <w:t xml:space="preserve">This lesson/unit plan should help students in their goals to dissect the question, to organize their thoughts, and to analyze the documents so that they can begin to write their essay. </w:t>
      </w:r>
    </w:p>
    <w:p w14:paraId="4CDF013B" w14:textId="7E897F1A" w:rsidR="00772686" w:rsidRPr="00772686" w:rsidRDefault="00772686" w:rsidP="00772686">
      <w:pPr>
        <w:jc w:val="center"/>
        <w:rPr>
          <w:b/>
        </w:rPr>
      </w:pPr>
      <w:r w:rsidRPr="00772686">
        <w:rPr>
          <w:b/>
        </w:rPr>
        <w:t>Ensuring Deep Knowledge</w:t>
      </w:r>
      <w:r w:rsidRPr="00772686">
        <w:rPr>
          <w:b/>
        </w:rPr>
        <w:br/>
      </w:r>
    </w:p>
    <w:p w14:paraId="223F1A4D" w14:textId="77777777" w:rsidR="00772686" w:rsidRPr="00A37E67" w:rsidRDefault="00772686" w:rsidP="00772686">
      <w:pPr>
        <w:spacing w:line="480" w:lineRule="auto"/>
      </w:pPr>
      <w:r>
        <w:tab/>
        <w:t xml:space="preserve">This assignment focuses on Items 9 and 10 from </w:t>
      </w:r>
      <w:r>
        <w:rPr>
          <w:i/>
        </w:rPr>
        <w:t xml:space="preserve">The Twelve Touchstones of Good Teaching </w:t>
      </w:r>
      <w:r>
        <w:t>(Goodwin &amp; Ross Hubble, 2013).</w:t>
      </w:r>
    </w:p>
    <w:p w14:paraId="69E0C04E" w14:textId="6CB2C964" w:rsidR="00772686" w:rsidRPr="00CD6DEA" w:rsidRDefault="00772686" w:rsidP="00772686">
      <w:pPr>
        <w:jc w:val="center"/>
        <w:rPr>
          <w:b/>
          <w:bCs/>
        </w:rPr>
      </w:pPr>
      <w:r>
        <w:rPr>
          <w:b/>
          <w:bCs/>
        </w:rPr>
        <w:t>Critical Thinking: Module 6</w:t>
      </w:r>
      <w:r>
        <w:rPr>
          <w:b/>
          <w:bCs/>
        </w:rPr>
        <w:br/>
      </w:r>
    </w:p>
    <w:p w14:paraId="6E3E6359" w14:textId="77777777" w:rsidR="00772686" w:rsidRDefault="00772686" w:rsidP="00772686">
      <w:pPr>
        <w:pStyle w:val="Default"/>
        <w:rPr>
          <w:rFonts w:ascii="Times New Roman" w:hAnsi="Times New Roman" w:cs="Times New Roman"/>
          <w:b/>
          <w:bCs/>
        </w:rPr>
      </w:pPr>
      <w:r>
        <w:rPr>
          <w:rFonts w:ascii="Times New Roman" w:hAnsi="Times New Roman" w:cs="Times New Roman"/>
          <w:b/>
          <w:bCs/>
        </w:rPr>
        <w:t>Step One: Add opportunities for students to process every 15 minutes.</w:t>
      </w:r>
    </w:p>
    <w:p w14:paraId="6A764690" w14:textId="77777777" w:rsidR="00772686" w:rsidRDefault="00772686" w:rsidP="00772686">
      <w:pPr>
        <w:pStyle w:val="Default"/>
        <w:rPr>
          <w:rFonts w:ascii="Times New Roman" w:hAnsi="Times New Roman" w:cs="Times New Roman"/>
          <w:b/>
          <w:bCs/>
        </w:rPr>
      </w:pPr>
    </w:p>
    <w:p w14:paraId="567DFE9E" w14:textId="61274E52" w:rsidR="00772686" w:rsidRDefault="00772686" w:rsidP="00772686">
      <w:pPr>
        <w:pStyle w:val="Default"/>
        <w:spacing w:line="480" w:lineRule="auto"/>
        <w:rPr>
          <w:rFonts w:ascii="Times New Roman" w:hAnsi="Times New Roman" w:cs="Times New Roman"/>
          <w:bCs/>
        </w:rPr>
      </w:pPr>
      <w:r>
        <w:rPr>
          <w:rFonts w:ascii="Times New Roman" w:hAnsi="Times New Roman" w:cs="Times New Roman"/>
          <w:bCs/>
        </w:rPr>
        <w:tab/>
        <w:t>Since I am using the Workshop Model (Tovani, 2011), the opportunity to reflect is naturally built into the lesson.  This model allows me to create a student-centered classroom where students drive the work, which allows me to walk around and serve as a facilitator.  During the “Catch &amp; Release” method, students will be able to take some time to reflect and process what else they might need or address anything that is still confusing or challenging.  This methodology is also discussed by Goodwin and Ross Hubble (2013) when they talk about breaking learning into discreet chunks of time.  During the “catch” time I pose questions that will challenge their thinking and help them draw connections betw</w:t>
      </w:r>
      <w:r w:rsidR="00590B0D">
        <w:rPr>
          <w:rFonts w:ascii="Times New Roman" w:hAnsi="Times New Roman" w:cs="Times New Roman"/>
          <w:bCs/>
        </w:rPr>
        <w:t>een the author, the intended au</w:t>
      </w:r>
      <w:bookmarkStart w:id="0" w:name="_GoBack"/>
      <w:bookmarkEnd w:id="0"/>
      <w:r>
        <w:rPr>
          <w:rFonts w:ascii="Times New Roman" w:hAnsi="Times New Roman" w:cs="Times New Roman"/>
          <w:bCs/>
        </w:rPr>
        <w:t xml:space="preserve">dience, themselves, and the world around them, and then I will “release” them with this new idea to think about or develop on their own. </w:t>
      </w:r>
    </w:p>
    <w:p w14:paraId="3A9DDA5A" w14:textId="77777777" w:rsidR="00772686" w:rsidRDefault="00772686" w:rsidP="00772686">
      <w:pPr>
        <w:pStyle w:val="Default"/>
        <w:rPr>
          <w:rFonts w:ascii="Times New Roman" w:hAnsi="Times New Roman" w:cs="Times New Roman"/>
          <w:b/>
          <w:bCs/>
        </w:rPr>
      </w:pPr>
    </w:p>
    <w:p w14:paraId="54CE7833" w14:textId="77777777" w:rsidR="00772686" w:rsidRDefault="00772686" w:rsidP="00772686">
      <w:pPr>
        <w:pStyle w:val="Default"/>
        <w:rPr>
          <w:rFonts w:ascii="Times New Roman" w:hAnsi="Times New Roman" w:cs="Times New Roman"/>
          <w:b/>
          <w:bCs/>
        </w:rPr>
      </w:pPr>
      <w:r>
        <w:rPr>
          <w:rFonts w:ascii="Times New Roman" w:hAnsi="Times New Roman" w:cs="Times New Roman"/>
          <w:b/>
          <w:bCs/>
        </w:rPr>
        <w:t xml:space="preserve">Step Two: Use the Six Essential C’s to assess everything in the lesson or unit to ensure that it has a purpose.  </w:t>
      </w:r>
      <w:r w:rsidRPr="00681120">
        <w:rPr>
          <w:rFonts w:ascii="Times New Roman" w:hAnsi="Times New Roman" w:cs="Times New Roman"/>
          <w:bCs/>
        </w:rPr>
        <w:t>(These are labeled within the lesson plan.)</w:t>
      </w:r>
    </w:p>
    <w:p w14:paraId="0FE61DA3" w14:textId="77777777" w:rsidR="00772686" w:rsidRDefault="00772686" w:rsidP="00772686">
      <w:pPr>
        <w:pStyle w:val="Default"/>
        <w:rPr>
          <w:rFonts w:ascii="Times New Roman" w:hAnsi="Times New Roman" w:cs="Times New Roman"/>
          <w:b/>
          <w:bCs/>
        </w:rPr>
      </w:pPr>
    </w:p>
    <w:p w14:paraId="0A0BB947" w14:textId="77777777" w:rsidR="00772686" w:rsidRDefault="00772686" w:rsidP="00772686">
      <w:pPr>
        <w:pStyle w:val="Default"/>
        <w:rPr>
          <w:rFonts w:ascii="Times New Roman" w:hAnsi="Times New Roman" w:cs="Times New Roman"/>
          <w:b/>
          <w:bCs/>
        </w:rPr>
      </w:pPr>
    </w:p>
    <w:p w14:paraId="7ECFA212" w14:textId="77777777" w:rsidR="00772686" w:rsidRPr="00681120" w:rsidRDefault="00772686" w:rsidP="00772686">
      <w:pPr>
        <w:pStyle w:val="Default"/>
        <w:rPr>
          <w:rFonts w:ascii="Times New Roman" w:hAnsi="Times New Roman" w:cs="Times New Roman"/>
          <w:bCs/>
        </w:rPr>
      </w:pPr>
      <w:r>
        <w:rPr>
          <w:rFonts w:ascii="Times New Roman" w:hAnsi="Times New Roman" w:cs="Times New Roman"/>
          <w:b/>
          <w:bCs/>
        </w:rPr>
        <w:t xml:space="preserve">Step Three: Add amount of time devoted to every activity in the lesson or unit. </w:t>
      </w:r>
      <w:r w:rsidRPr="00681120">
        <w:rPr>
          <w:rFonts w:ascii="Times New Roman" w:hAnsi="Times New Roman" w:cs="Times New Roman"/>
          <w:bCs/>
        </w:rPr>
        <w:t>(These are labeled within the lesson plan.)</w:t>
      </w:r>
    </w:p>
    <w:p w14:paraId="43376EE8" w14:textId="77777777" w:rsidR="00524882" w:rsidRPr="00772686" w:rsidRDefault="00524882" w:rsidP="002F60A3"/>
    <w:tbl>
      <w:tblPr>
        <w:tblW w:w="11176"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3"/>
        <w:gridCol w:w="36"/>
        <w:gridCol w:w="5547"/>
      </w:tblGrid>
      <w:tr w:rsidR="00524882" w:rsidRPr="00772686" w14:paraId="50FD8166" w14:textId="77777777" w:rsidTr="0058294D">
        <w:tc>
          <w:tcPr>
            <w:tcW w:w="11176" w:type="dxa"/>
            <w:gridSpan w:val="3"/>
            <w:shd w:val="pct10" w:color="auto" w:fill="auto"/>
          </w:tcPr>
          <w:p w14:paraId="40A69060" w14:textId="77777777" w:rsidR="00524882" w:rsidRPr="00772686" w:rsidRDefault="00524882" w:rsidP="003A12BD">
            <w:pPr>
              <w:jc w:val="center"/>
            </w:pPr>
            <w:r w:rsidRPr="00772686">
              <w:rPr>
                <w:b/>
              </w:rPr>
              <w:t xml:space="preserve">Stage 1 – Desired Results </w:t>
            </w:r>
          </w:p>
        </w:tc>
      </w:tr>
      <w:tr w:rsidR="00524882" w:rsidRPr="00772686" w14:paraId="1DE1A48F" w14:textId="77777777" w:rsidTr="0058294D">
        <w:tc>
          <w:tcPr>
            <w:tcW w:w="11176" w:type="dxa"/>
            <w:gridSpan w:val="3"/>
          </w:tcPr>
          <w:p w14:paraId="285A0DAF" w14:textId="77777777" w:rsidR="00524882" w:rsidRPr="00772686" w:rsidRDefault="00524882" w:rsidP="003A12BD">
            <w:pPr>
              <w:rPr>
                <w:b/>
              </w:rPr>
            </w:pPr>
            <w:r w:rsidRPr="00772686">
              <w:rPr>
                <w:b/>
              </w:rPr>
              <w:t>Content Standard(s): (Module 2)</w:t>
            </w:r>
          </w:p>
          <w:p w14:paraId="2A297421" w14:textId="17CC52DA" w:rsidR="00524882" w:rsidRPr="00772686" w:rsidRDefault="00B0601E" w:rsidP="003A12BD">
            <w:pPr>
              <w:rPr>
                <w:bCs/>
              </w:rPr>
            </w:pPr>
            <w:r w:rsidRPr="00772686">
              <w:rPr>
                <w:bCs/>
              </w:rPr>
              <w:t>Colorado History Standard 1. Use the historical method of inquiry to ask questions, evaluate primary and secondary sources, critically analyze and interpret data, and develop interpretations defended by evidence</w:t>
            </w:r>
            <w:r w:rsidR="00772686">
              <w:rPr>
                <w:bCs/>
              </w:rPr>
              <w:t>.</w:t>
            </w:r>
          </w:p>
          <w:p w14:paraId="21CBAE12" w14:textId="2BED9A89" w:rsidR="00DA1A80" w:rsidRPr="00772686" w:rsidRDefault="00DA1A80" w:rsidP="003A12BD"/>
        </w:tc>
      </w:tr>
      <w:tr w:rsidR="00524882" w:rsidRPr="00772686" w14:paraId="63095239" w14:textId="77777777" w:rsidTr="0058294D">
        <w:tc>
          <w:tcPr>
            <w:tcW w:w="5593" w:type="dxa"/>
          </w:tcPr>
          <w:p w14:paraId="7472C861" w14:textId="70F57AC5" w:rsidR="00524882" w:rsidRPr="00772686" w:rsidRDefault="00524882" w:rsidP="003A12BD">
            <w:pPr>
              <w:rPr>
                <w:b/>
              </w:rPr>
            </w:pPr>
            <w:r w:rsidRPr="00772686">
              <w:rPr>
                <w:b/>
              </w:rPr>
              <w:t>Unpacked Standard(s): (Module 2)</w:t>
            </w:r>
          </w:p>
          <w:p w14:paraId="587F2DC1" w14:textId="77777777" w:rsidR="00321B2E" w:rsidRPr="00772686" w:rsidRDefault="00521C96" w:rsidP="00321B2E">
            <w:pPr>
              <w:pStyle w:val="ListParagraph"/>
              <w:numPr>
                <w:ilvl w:val="0"/>
                <w:numId w:val="14"/>
              </w:numPr>
              <w:rPr>
                <w:rFonts w:ascii="Times New Roman" w:hAnsi="Times New Roman" w:cs="Times New Roman"/>
                <w:sz w:val="24"/>
                <w:szCs w:val="24"/>
              </w:rPr>
            </w:pPr>
            <w:r w:rsidRPr="00772686">
              <w:rPr>
                <w:rFonts w:ascii="Times New Roman" w:hAnsi="Times New Roman" w:cs="Times New Roman"/>
                <w:sz w:val="24"/>
                <w:szCs w:val="24"/>
              </w:rPr>
              <w:t>Evaluate a historical source for point of view and context</w:t>
            </w:r>
          </w:p>
          <w:p w14:paraId="6AE9465C" w14:textId="4CF9DB6F" w:rsidR="00521C96" w:rsidRPr="00772686" w:rsidRDefault="00521C96" w:rsidP="00321B2E">
            <w:pPr>
              <w:pStyle w:val="ListParagraph"/>
              <w:numPr>
                <w:ilvl w:val="0"/>
                <w:numId w:val="14"/>
              </w:numPr>
              <w:rPr>
                <w:rFonts w:ascii="Times New Roman" w:hAnsi="Times New Roman" w:cs="Times New Roman"/>
                <w:sz w:val="24"/>
                <w:szCs w:val="24"/>
              </w:rPr>
            </w:pPr>
            <w:r w:rsidRPr="00772686">
              <w:rPr>
                <w:rFonts w:ascii="Times New Roman" w:hAnsi="Times New Roman" w:cs="Times New Roman"/>
                <w:sz w:val="24"/>
                <w:szCs w:val="24"/>
              </w:rPr>
              <w:t xml:space="preserve">Create and defend a historical claim/argument </w:t>
            </w:r>
            <w:r w:rsidR="00675DD1" w:rsidRPr="00772686">
              <w:rPr>
                <w:rFonts w:ascii="Times New Roman" w:hAnsi="Times New Roman" w:cs="Times New Roman"/>
                <w:sz w:val="24"/>
                <w:szCs w:val="24"/>
              </w:rPr>
              <w:t>using evidence from a primary or secondary source</w:t>
            </w:r>
          </w:p>
          <w:p w14:paraId="5A005032" w14:textId="77777777" w:rsidR="00675DD1" w:rsidRPr="00772686" w:rsidRDefault="00675DD1" w:rsidP="00321B2E">
            <w:pPr>
              <w:pStyle w:val="ListParagraph"/>
              <w:numPr>
                <w:ilvl w:val="0"/>
                <w:numId w:val="14"/>
              </w:numPr>
              <w:rPr>
                <w:rFonts w:ascii="Times New Roman" w:hAnsi="Times New Roman" w:cs="Times New Roman"/>
                <w:sz w:val="24"/>
                <w:szCs w:val="24"/>
              </w:rPr>
            </w:pPr>
            <w:r w:rsidRPr="00772686">
              <w:rPr>
                <w:rFonts w:ascii="Times New Roman" w:hAnsi="Times New Roman" w:cs="Times New Roman"/>
                <w:sz w:val="24"/>
                <w:szCs w:val="24"/>
              </w:rPr>
              <w:t>Differentiate between fact and historical interpretation</w:t>
            </w:r>
          </w:p>
          <w:p w14:paraId="0D3CCF9D" w14:textId="3A20273B" w:rsidR="00675DD1" w:rsidRPr="00772686" w:rsidRDefault="00675DD1" w:rsidP="00321B2E">
            <w:pPr>
              <w:pStyle w:val="ListParagraph"/>
              <w:numPr>
                <w:ilvl w:val="0"/>
                <w:numId w:val="14"/>
              </w:numPr>
              <w:rPr>
                <w:rFonts w:ascii="Times New Roman" w:hAnsi="Times New Roman" w:cs="Times New Roman"/>
                <w:sz w:val="24"/>
                <w:szCs w:val="24"/>
              </w:rPr>
            </w:pPr>
            <w:r w:rsidRPr="00772686">
              <w:rPr>
                <w:rFonts w:ascii="Times New Roman" w:hAnsi="Times New Roman" w:cs="Times New Roman"/>
                <w:sz w:val="24"/>
                <w:szCs w:val="24"/>
              </w:rPr>
              <w:t>Recognize author’s bias</w:t>
            </w:r>
            <w:r w:rsidR="007E3234" w:rsidRPr="00772686">
              <w:rPr>
                <w:rFonts w:ascii="Times New Roman" w:hAnsi="Times New Roman" w:cs="Times New Roman"/>
                <w:sz w:val="24"/>
                <w:szCs w:val="24"/>
              </w:rPr>
              <w:t xml:space="preserve"> in the document</w:t>
            </w:r>
          </w:p>
          <w:p w14:paraId="4DAAC762" w14:textId="77777777" w:rsidR="00524882" w:rsidRPr="00772686" w:rsidRDefault="00524882" w:rsidP="00CA749D">
            <w:pPr>
              <w:pStyle w:val="Default"/>
              <w:spacing w:line="480" w:lineRule="auto"/>
              <w:rPr>
                <w:rFonts w:ascii="Times New Roman" w:hAnsi="Times New Roman" w:cs="Times New Roman"/>
              </w:rPr>
            </w:pPr>
          </w:p>
        </w:tc>
        <w:tc>
          <w:tcPr>
            <w:tcW w:w="5583" w:type="dxa"/>
            <w:gridSpan w:val="2"/>
          </w:tcPr>
          <w:p w14:paraId="2BAFD770" w14:textId="22F7123C" w:rsidR="00524882" w:rsidRPr="00772686" w:rsidRDefault="00524882" w:rsidP="003A12BD">
            <w:pPr>
              <w:rPr>
                <w:b/>
              </w:rPr>
            </w:pPr>
            <w:r w:rsidRPr="00772686">
              <w:rPr>
                <w:b/>
              </w:rPr>
              <w:t>Essential Questions: (Module 2)</w:t>
            </w:r>
            <w:r w:rsidR="0089722C" w:rsidRPr="00772686">
              <w:rPr>
                <w:b/>
              </w:rPr>
              <w:br/>
            </w:r>
          </w:p>
          <w:p w14:paraId="6F855036" w14:textId="77777777" w:rsidR="00524882" w:rsidRPr="00772686" w:rsidRDefault="00675DD1" w:rsidP="00675DD1">
            <w:pPr>
              <w:pStyle w:val="ListParagraph"/>
              <w:numPr>
                <w:ilvl w:val="0"/>
                <w:numId w:val="15"/>
              </w:numPr>
              <w:rPr>
                <w:rFonts w:ascii="Times New Roman" w:hAnsi="Times New Roman" w:cs="Times New Roman"/>
                <w:sz w:val="24"/>
                <w:szCs w:val="24"/>
              </w:rPr>
            </w:pPr>
            <w:r w:rsidRPr="00772686">
              <w:rPr>
                <w:rFonts w:ascii="Times New Roman" w:hAnsi="Times New Roman" w:cs="Times New Roman"/>
                <w:sz w:val="24"/>
                <w:szCs w:val="24"/>
              </w:rPr>
              <w:t xml:space="preserve">How does point of view impact how history is interpreted? </w:t>
            </w:r>
          </w:p>
          <w:p w14:paraId="13E8BF8D" w14:textId="3D2CA9EF" w:rsidR="00675DD1" w:rsidRPr="00772686" w:rsidRDefault="00675DD1" w:rsidP="00675DD1">
            <w:pPr>
              <w:pStyle w:val="ListParagraph"/>
              <w:numPr>
                <w:ilvl w:val="0"/>
                <w:numId w:val="15"/>
              </w:numPr>
              <w:rPr>
                <w:rFonts w:ascii="Times New Roman" w:hAnsi="Times New Roman" w:cs="Times New Roman"/>
                <w:sz w:val="24"/>
                <w:szCs w:val="24"/>
              </w:rPr>
            </w:pPr>
            <w:r w:rsidRPr="00772686">
              <w:rPr>
                <w:rFonts w:ascii="Times New Roman" w:hAnsi="Times New Roman" w:cs="Times New Roman"/>
                <w:sz w:val="24"/>
                <w:szCs w:val="24"/>
              </w:rPr>
              <w:t>Why are historical questions important?</w:t>
            </w:r>
          </w:p>
        </w:tc>
      </w:tr>
      <w:tr w:rsidR="00524882" w:rsidRPr="00772686" w14:paraId="4AF93C3E" w14:textId="77777777" w:rsidTr="0058294D">
        <w:tc>
          <w:tcPr>
            <w:tcW w:w="11176" w:type="dxa"/>
            <w:gridSpan w:val="3"/>
          </w:tcPr>
          <w:p w14:paraId="77A431EA" w14:textId="68631BC1" w:rsidR="00524882" w:rsidRPr="00772686" w:rsidRDefault="00524882" w:rsidP="003A12BD">
            <w:pPr>
              <w:ind w:left="72"/>
              <w:rPr>
                <w:b/>
              </w:rPr>
            </w:pPr>
            <w:r w:rsidRPr="00772686">
              <w:rPr>
                <w:b/>
              </w:rPr>
              <w:t>Students will set their own personal goals by…. (Module 3)</w:t>
            </w:r>
          </w:p>
          <w:p w14:paraId="008A2C14" w14:textId="77777777" w:rsidR="00C44249" w:rsidRPr="00772686" w:rsidRDefault="00C44249" w:rsidP="00772686">
            <w:pPr>
              <w:numPr>
                <w:ilvl w:val="0"/>
                <w:numId w:val="11"/>
              </w:numPr>
            </w:pPr>
            <w:r w:rsidRPr="00772686">
              <w:t>Working with one another during class activities.</w:t>
            </w:r>
            <w:r w:rsidRPr="00772686">
              <w:br/>
            </w:r>
          </w:p>
          <w:p w14:paraId="4FC9AA19" w14:textId="77777777" w:rsidR="00C44249" w:rsidRPr="00772686" w:rsidRDefault="00C44249" w:rsidP="00772686">
            <w:pPr>
              <w:numPr>
                <w:ilvl w:val="0"/>
                <w:numId w:val="11"/>
              </w:numPr>
            </w:pPr>
            <w:r w:rsidRPr="00772686">
              <w:t>Peer-edit a classmate’s essay</w:t>
            </w:r>
            <w:r w:rsidRPr="00772686">
              <w:br/>
            </w:r>
          </w:p>
          <w:p w14:paraId="068F5717" w14:textId="77777777" w:rsidR="00C44249" w:rsidRPr="00772686" w:rsidRDefault="00C44249" w:rsidP="00772686">
            <w:pPr>
              <w:numPr>
                <w:ilvl w:val="0"/>
                <w:numId w:val="11"/>
              </w:numPr>
            </w:pPr>
            <w:r w:rsidRPr="00772686">
              <w:t>Conference with me on their essay process</w:t>
            </w:r>
            <w:r w:rsidRPr="00772686">
              <w:br/>
            </w:r>
          </w:p>
          <w:p w14:paraId="641A867C" w14:textId="0E9511B4" w:rsidR="00524882" w:rsidRPr="00772686" w:rsidRDefault="00C44249" w:rsidP="00772686">
            <w:pPr>
              <w:numPr>
                <w:ilvl w:val="0"/>
                <w:numId w:val="11"/>
              </w:numPr>
            </w:pPr>
            <w:r w:rsidRPr="00772686">
              <w:t>Cooperative learning through a class written DBQ</w:t>
            </w:r>
          </w:p>
          <w:p w14:paraId="68A632D6" w14:textId="77777777" w:rsidR="00524882" w:rsidRPr="00772686" w:rsidRDefault="00524882" w:rsidP="003A12BD">
            <w:pPr>
              <w:ind w:left="72"/>
              <w:rPr>
                <w:b/>
              </w:rPr>
            </w:pPr>
          </w:p>
        </w:tc>
      </w:tr>
      <w:tr w:rsidR="00524882" w:rsidRPr="00772686" w14:paraId="65F33ECF" w14:textId="77777777" w:rsidTr="0058294D">
        <w:tc>
          <w:tcPr>
            <w:tcW w:w="11176" w:type="dxa"/>
            <w:gridSpan w:val="3"/>
          </w:tcPr>
          <w:p w14:paraId="56890411" w14:textId="77777777" w:rsidR="00524882" w:rsidRPr="00772686" w:rsidRDefault="00524882" w:rsidP="003A12BD">
            <w:pPr>
              <w:ind w:left="72"/>
              <w:rPr>
                <w:b/>
              </w:rPr>
            </w:pPr>
            <w:r w:rsidRPr="00772686">
              <w:rPr>
                <w:b/>
              </w:rPr>
              <w:t>Rules and Procedures (Module 5)</w:t>
            </w:r>
          </w:p>
          <w:p w14:paraId="08AAF51D" w14:textId="77777777" w:rsidR="00E23645" w:rsidRPr="00772686" w:rsidRDefault="00E23645" w:rsidP="00E23645">
            <w:pPr>
              <w:pStyle w:val="Default"/>
              <w:ind w:firstLine="720"/>
              <w:rPr>
                <w:rFonts w:ascii="Times New Roman" w:hAnsi="Times New Roman" w:cs="Times New Roman"/>
                <w:b/>
                <w:bCs/>
              </w:rPr>
            </w:pPr>
            <w:r w:rsidRPr="00772686">
              <w:rPr>
                <w:rFonts w:ascii="Times New Roman" w:hAnsi="Times New Roman" w:cs="Times New Roman"/>
                <w:b/>
                <w:bCs/>
              </w:rPr>
              <w:t>Class Rules:</w:t>
            </w:r>
          </w:p>
          <w:p w14:paraId="218A07D8" w14:textId="77777777" w:rsidR="00E23645" w:rsidRPr="00772686" w:rsidRDefault="00E23645" w:rsidP="00E23645">
            <w:pPr>
              <w:pStyle w:val="Default"/>
              <w:numPr>
                <w:ilvl w:val="0"/>
                <w:numId w:val="17"/>
              </w:numPr>
              <w:rPr>
                <w:rFonts w:ascii="Times New Roman" w:hAnsi="Times New Roman" w:cs="Times New Roman"/>
                <w:bCs/>
              </w:rPr>
            </w:pPr>
            <w:r w:rsidRPr="00772686">
              <w:rPr>
                <w:rFonts w:ascii="Times New Roman" w:hAnsi="Times New Roman" w:cs="Times New Roman"/>
                <w:bCs/>
              </w:rPr>
              <w:t>Be open to discussion about the ideas, opinions and thoughts you present in class.</w:t>
            </w:r>
          </w:p>
          <w:p w14:paraId="475BA6AF" w14:textId="77777777" w:rsidR="00E23645" w:rsidRPr="00772686" w:rsidRDefault="00E23645" w:rsidP="00E23645">
            <w:pPr>
              <w:pStyle w:val="Default"/>
              <w:numPr>
                <w:ilvl w:val="0"/>
                <w:numId w:val="17"/>
              </w:numPr>
              <w:rPr>
                <w:rFonts w:ascii="Times New Roman" w:hAnsi="Times New Roman" w:cs="Times New Roman"/>
                <w:bCs/>
              </w:rPr>
            </w:pPr>
            <w:r w:rsidRPr="00772686">
              <w:rPr>
                <w:rFonts w:ascii="Times New Roman" w:hAnsi="Times New Roman" w:cs="Times New Roman"/>
                <w:bCs/>
              </w:rPr>
              <w:t>Actively listening to all members of the class.</w:t>
            </w:r>
          </w:p>
          <w:p w14:paraId="221670C7" w14:textId="77777777" w:rsidR="00E23645" w:rsidRPr="00772686" w:rsidRDefault="00E23645" w:rsidP="00E23645">
            <w:pPr>
              <w:pStyle w:val="Default"/>
              <w:numPr>
                <w:ilvl w:val="0"/>
                <w:numId w:val="17"/>
              </w:numPr>
              <w:rPr>
                <w:rFonts w:ascii="Times New Roman" w:hAnsi="Times New Roman" w:cs="Times New Roman"/>
                <w:bCs/>
              </w:rPr>
            </w:pPr>
            <w:r w:rsidRPr="00772686">
              <w:rPr>
                <w:rFonts w:ascii="Times New Roman" w:hAnsi="Times New Roman" w:cs="Times New Roman"/>
                <w:bCs/>
              </w:rPr>
              <w:t>Come prepared for class and take responsibility if this is not the case.</w:t>
            </w:r>
          </w:p>
          <w:p w14:paraId="51F136AB" w14:textId="77777777" w:rsidR="00E23645" w:rsidRPr="00772686" w:rsidRDefault="00E23645" w:rsidP="00E23645">
            <w:pPr>
              <w:pStyle w:val="Default"/>
              <w:numPr>
                <w:ilvl w:val="0"/>
                <w:numId w:val="17"/>
              </w:numPr>
              <w:rPr>
                <w:rFonts w:ascii="Times New Roman" w:hAnsi="Times New Roman" w:cs="Times New Roman"/>
                <w:bCs/>
              </w:rPr>
            </w:pPr>
            <w:r w:rsidRPr="00772686">
              <w:rPr>
                <w:rFonts w:ascii="Times New Roman" w:hAnsi="Times New Roman" w:cs="Times New Roman"/>
                <w:bCs/>
              </w:rPr>
              <w:t>Be present.</w:t>
            </w:r>
          </w:p>
          <w:p w14:paraId="2DCB16B0" w14:textId="77777777" w:rsidR="00E23645" w:rsidRPr="00772686" w:rsidRDefault="00E23645" w:rsidP="00E23645">
            <w:pPr>
              <w:pStyle w:val="Default"/>
              <w:numPr>
                <w:ilvl w:val="0"/>
                <w:numId w:val="17"/>
              </w:numPr>
              <w:rPr>
                <w:rFonts w:ascii="Times New Roman" w:hAnsi="Times New Roman" w:cs="Times New Roman"/>
                <w:bCs/>
              </w:rPr>
            </w:pPr>
            <w:r w:rsidRPr="00772686">
              <w:rPr>
                <w:rFonts w:ascii="Times New Roman" w:hAnsi="Times New Roman" w:cs="Times New Roman"/>
                <w:bCs/>
              </w:rPr>
              <w:t>Be flexible.</w:t>
            </w:r>
          </w:p>
          <w:p w14:paraId="63322C3C" w14:textId="77777777" w:rsidR="00E23645" w:rsidRDefault="00E23645" w:rsidP="00E23645">
            <w:pPr>
              <w:pStyle w:val="Default"/>
              <w:ind w:left="720"/>
              <w:rPr>
                <w:rFonts w:ascii="Times New Roman" w:hAnsi="Times New Roman" w:cs="Times New Roman"/>
                <w:b/>
                <w:bCs/>
              </w:rPr>
            </w:pPr>
          </w:p>
          <w:p w14:paraId="07D4DB98" w14:textId="77777777" w:rsidR="00772686" w:rsidRDefault="00772686" w:rsidP="00E23645">
            <w:pPr>
              <w:pStyle w:val="Default"/>
              <w:ind w:left="720"/>
              <w:rPr>
                <w:rFonts w:ascii="Times New Roman" w:hAnsi="Times New Roman" w:cs="Times New Roman"/>
                <w:b/>
                <w:bCs/>
              </w:rPr>
            </w:pPr>
          </w:p>
          <w:p w14:paraId="0BF90859" w14:textId="77777777" w:rsidR="00772686" w:rsidRDefault="00772686" w:rsidP="00E23645">
            <w:pPr>
              <w:pStyle w:val="Default"/>
              <w:ind w:left="720"/>
              <w:rPr>
                <w:rFonts w:ascii="Times New Roman" w:hAnsi="Times New Roman" w:cs="Times New Roman"/>
                <w:b/>
                <w:bCs/>
              </w:rPr>
            </w:pPr>
          </w:p>
          <w:p w14:paraId="6BC205A9" w14:textId="77777777" w:rsidR="00772686" w:rsidRDefault="00772686" w:rsidP="00E23645">
            <w:pPr>
              <w:pStyle w:val="Default"/>
              <w:ind w:left="720"/>
              <w:rPr>
                <w:rFonts w:ascii="Times New Roman" w:hAnsi="Times New Roman" w:cs="Times New Roman"/>
                <w:b/>
                <w:bCs/>
              </w:rPr>
            </w:pPr>
          </w:p>
          <w:p w14:paraId="0D60219A" w14:textId="77777777" w:rsidR="00772686" w:rsidRPr="00772686" w:rsidRDefault="00772686" w:rsidP="00E23645">
            <w:pPr>
              <w:pStyle w:val="Default"/>
              <w:ind w:left="720"/>
              <w:rPr>
                <w:rFonts w:ascii="Times New Roman" w:hAnsi="Times New Roman" w:cs="Times New Roman"/>
                <w:b/>
                <w:bCs/>
              </w:rPr>
            </w:pPr>
          </w:p>
          <w:p w14:paraId="16D7F2E2" w14:textId="77777777" w:rsidR="00E23645" w:rsidRPr="00772686" w:rsidRDefault="00E23645" w:rsidP="00E23645">
            <w:pPr>
              <w:pStyle w:val="Default"/>
              <w:ind w:left="720"/>
              <w:rPr>
                <w:rFonts w:ascii="Times New Roman" w:hAnsi="Times New Roman" w:cs="Times New Roman"/>
                <w:b/>
                <w:bCs/>
              </w:rPr>
            </w:pPr>
            <w:r w:rsidRPr="00772686">
              <w:rPr>
                <w:rFonts w:ascii="Times New Roman" w:hAnsi="Times New Roman" w:cs="Times New Roman"/>
                <w:b/>
                <w:bCs/>
              </w:rPr>
              <w:lastRenderedPageBreak/>
              <w:t>Class Procedures:</w:t>
            </w:r>
          </w:p>
          <w:p w14:paraId="758D8FF4" w14:textId="77777777" w:rsidR="00E23645" w:rsidRPr="00772686" w:rsidRDefault="00E23645" w:rsidP="00E23645">
            <w:pPr>
              <w:pStyle w:val="Default"/>
              <w:numPr>
                <w:ilvl w:val="0"/>
                <w:numId w:val="18"/>
              </w:numPr>
              <w:rPr>
                <w:rFonts w:ascii="Times New Roman" w:hAnsi="Times New Roman" w:cs="Times New Roman"/>
                <w:b/>
                <w:bCs/>
              </w:rPr>
            </w:pPr>
            <w:r w:rsidRPr="00772686">
              <w:rPr>
                <w:rFonts w:ascii="Times New Roman" w:hAnsi="Times New Roman" w:cs="Times New Roman"/>
                <w:b/>
                <w:bCs/>
              </w:rPr>
              <w:t xml:space="preserve">When Entering the Classroom: </w:t>
            </w:r>
          </w:p>
          <w:p w14:paraId="52D88B43" w14:textId="77777777" w:rsidR="00E23645" w:rsidRPr="00772686" w:rsidRDefault="00E23645" w:rsidP="00E23645">
            <w:pPr>
              <w:pStyle w:val="Default"/>
              <w:numPr>
                <w:ilvl w:val="1"/>
                <w:numId w:val="18"/>
              </w:numPr>
              <w:rPr>
                <w:rFonts w:ascii="Times New Roman" w:hAnsi="Times New Roman" w:cs="Times New Roman"/>
                <w:b/>
                <w:bCs/>
              </w:rPr>
            </w:pPr>
            <w:r w:rsidRPr="00772686">
              <w:rPr>
                <w:rFonts w:ascii="Times New Roman" w:hAnsi="Times New Roman" w:cs="Times New Roman"/>
                <w:bCs/>
              </w:rPr>
              <w:t>When the bell rings, be seating and ready to go (notebooks out, homework ready, etc).</w:t>
            </w:r>
            <w:r w:rsidRPr="00772686">
              <w:rPr>
                <w:rFonts w:ascii="Times New Roman" w:hAnsi="Times New Roman" w:cs="Times New Roman"/>
                <w:bCs/>
              </w:rPr>
              <w:br/>
            </w:r>
          </w:p>
          <w:p w14:paraId="58635A7C" w14:textId="77777777" w:rsidR="00E23645" w:rsidRPr="00772686" w:rsidRDefault="00E23645" w:rsidP="00E23645">
            <w:pPr>
              <w:pStyle w:val="Default"/>
              <w:numPr>
                <w:ilvl w:val="0"/>
                <w:numId w:val="18"/>
              </w:numPr>
              <w:rPr>
                <w:rFonts w:ascii="Times New Roman" w:hAnsi="Times New Roman" w:cs="Times New Roman"/>
                <w:b/>
                <w:bCs/>
              </w:rPr>
            </w:pPr>
            <w:r w:rsidRPr="00772686">
              <w:rPr>
                <w:rFonts w:ascii="Times New Roman" w:hAnsi="Times New Roman" w:cs="Times New Roman"/>
                <w:b/>
                <w:bCs/>
              </w:rPr>
              <w:t>Restroom Breaks:</w:t>
            </w:r>
          </w:p>
          <w:p w14:paraId="76933C62" w14:textId="77777777" w:rsidR="00E23645" w:rsidRPr="00772686" w:rsidRDefault="00E23645" w:rsidP="00E23645">
            <w:pPr>
              <w:pStyle w:val="Default"/>
              <w:numPr>
                <w:ilvl w:val="1"/>
                <w:numId w:val="18"/>
              </w:numPr>
              <w:rPr>
                <w:rFonts w:ascii="Times New Roman" w:hAnsi="Times New Roman" w:cs="Times New Roman"/>
                <w:bCs/>
              </w:rPr>
            </w:pPr>
            <w:r w:rsidRPr="00772686">
              <w:rPr>
                <w:rFonts w:ascii="Times New Roman" w:hAnsi="Times New Roman" w:cs="Times New Roman"/>
                <w:bCs/>
              </w:rPr>
              <w:t xml:space="preserve">If the pass is available, you may use it as long as it is not during instruction. </w:t>
            </w:r>
            <w:r w:rsidRPr="00772686">
              <w:rPr>
                <w:rFonts w:ascii="Times New Roman" w:hAnsi="Times New Roman" w:cs="Times New Roman"/>
                <w:bCs/>
              </w:rPr>
              <w:br/>
            </w:r>
          </w:p>
          <w:p w14:paraId="098066AE" w14:textId="77777777" w:rsidR="00E23645" w:rsidRPr="00772686" w:rsidRDefault="00E23645" w:rsidP="00E23645">
            <w:pPr>
              <w:pStyle w:val="Default"/>
              <w:numPr>
                <w:ilvl w:val="0"/>
                <w:numId w:val="18"/>
              </w:numPr>
              <w:rPr>
                <w:rFonts w:ascii="Times New Roman" w:hAnsi="Times New Roman" w:cs="Times New Roman"/>
                <w:b/>
                <w:bCs/>
              </w:rPr>
            </w:pPr>
            <w:r w:rsidRPr="00772686">
              <w:rPr>
                <w:rFonts w:ascii="Times New Roman" w:hAnsi="Times New Roman" w:cs="Times New Roman"/>
                <w:b/>
                <w:bCs/>
              </w:rPr>
              <w:t>Turning in Assignments:</w:t>
            </w:r>
          </w:p>
          <w:p w14:paraId="1DEFC40E" w14:textId="77777777" w:rsidR="00E23645" w:rsidRPr="00772686" w:rsidRDefault="00E23645" w:rsidP="00E23645">
            <w:pPr>
              <w:pStyle w:val="Default"/>
              <w:numPr>
                <w:ilvl w:val="1"/>
                <w:numId w:val="18"/>
              </w:numPr>
              <w:rPr>
                <w:rFonts w:ascii="Times New Roman" w:hAnsi="Times New Roman" w:cs="Times New Roman"/>
                <w:b/>
                <w:bCs/>
              </w:rPr>
            </w:pPr>
            <w:r w:rsidRPr="00772686">
              <w:rPr>
                <w:rFonts w:ascii="Times New Roman" w:hAnsi="Times New Roman" w:cs="Times New Roman"/>
                <w:bCs/>
              </w:rPr>
              <w:t xml:space="preserve">During individual work time on Tuesday, leave your chapter notes open on the side of your desk. </w:t>
            </w:r>
          </w:p>
          <w:p w14:paraId="67EB837E" w14:textId="74346424" w:rsidR="00524882" w:rsidRPr="00772686" w:rsidRDefault="00E23645" w:rsidP="00E23645">
            <w:pPr>
              <w:pStyle w:val="Default"/>
              <w:numPr>
                <w:ilvl w:val="1"/>
                <w:numId w:val="18"/>
              </w:numPr>
              <w:rPr>
                <w:rFonts w:ascii="Times New Roman" w:hAnsi="Times New Roman" w:cs="Times New Roman"/>
                <w:bCs/>
              </w:rPr>
            </w:pPr>
            <w:r w:rsidRPr="00772686">
              <w:rPr>
                <w:rFonts w:ascii="Times New Roman" w:hAnsi="Times New Roman" w:cs="Times New Roman"/>
                <w:bCs/>
              </w:rPr>
              <w:t>On Friday's place your chapter notecards in the bin at the front of the classroom.</w:t>
            </w:r>
          </w:p>
          <w:p w14:paraId="512079F3" w14:textId="77777777" w:rsidR="00524882" w:rsidRPr="00772686" w:rsidRDefault="00524882" w:rsidP="003A12BD">
            <w:pPr>
              <w:ind w:left="72"/>
              <w:rPr>
                <w:b/>
              </w:rPr>
            </w:pPr>
          </w:p>
        </w:tc>
      </w:tr>
      <w:tr w:rsidR="00524882" w:rsidRPr="00772686" w14:paraId="6340FB1E" w14:textId="77777777" w:rsidTr="0058294D">
        <w:tc>
          <w:tcPr>
            <w:tcW w:w="11176" w:type="dxa"/>
            <w:gridSpan w:val="3"/>
            <w:shd w:val="pct10" w:color="auto" w:fill="auto"/>
          </w:tcPr>
          <w:p w14:paraId="3FBD7BBE" w14:textId="77777777" w:rsidR="00524882" w:rsidRPr="00772686" w:rsidRDefault="00524882" w:rsidP="003A12BD">
            <w:pPr>
              <w:jc w:val="center"/>
              <w:rPr>
                <w:b/>
              </w:rPr>
            </w:pPr>
            <w:r w:rsidRPr="00772686">
              <w:rPr>
                <w:b/>
              </w:rPr>
              <w:lastRenderedPageBreak/>
              <w:t xml:space="preserve">Stage 2 – Assessment Evidence Directly Aligned to Content Standard </w:t>
            </w:r>
          </w:p>
        </w:tc>
      </w:tr>
      <w:tr w:rsidR="00524882" w:rsidRPr="00772686" w14:paraId="3260F23C" w14:textId="77777777" w:rsidTr="0058294D">
        <w:trPr>
          <w:trHeight w:val="3360"/>
        </w:trPr>
        <w:tc>
          <w:tcPr>
            <w:tcW w:w="11176" w:type="dxa"/>
            <w:gridSpan w:val="3"/>
          </w:tcPr>
          <w:p w14:paraId="0CD72425" w14:textId="7953A5C5" w:rsidR="0058294D" w:rsidRPr="00772686" w:rsidRDefault="00524882" w:rsidP="0058294D">
            <w:pPr>
              <w:rPr>
                <w:b/>
              </w:rPr>
            </w:pPr>
            <w:r w:rsidRPr="00772686">
              <w:rPr>
                <w:b/>
              </w:rPr>
              <w:t>Pre-Assessment, including analysis of the pre-assessment results. (Module 3)</w:t>
            </w:r>
            <w:r w:rsidR="0058294D" w:rsidRPr="00772686">
              <w:rPr>
                <w:b/>
              </w:rPr>
              <w:br/>
            </w:r>
            <w:r w:rsidR="0058294D" w:rsidRPr="00772686">
              <w:rPr>
                <w:b/>
              </w:rPr>
              <w:br/>
              <w:t>Performance Task(s):</w:t>
            </w:r>
          </w:p>
          <w:p w14:paraId="3492552B" w14:textId="77777777" w:rsidR="0058294D" w:rsidRPr="00772686" w:rsidRDefault="0058294D" w:rsidP="0058294D">
            <w:pPr>
              <w:numPr>
                <w:ilvl w:val="0"/>
                <w:numId w:val="16"/>
              </w:numPr>
            </w:pPr>
            <w:r w:rsidRPr="00772686">
              <w:t xml:space="preserve">The goal of this lesson/unit is to help students analyze historical documents to accurately analyze and write an argumentative essay for the AP World History Exam. </w:t>
            </w:r>
          </w:p>
          <w:p w14:paraId="6CDA0F29" w14:textId="77777777" w:rsidR="0058294D" w:rsidRPr="00772686" w:rsidRDefault="0058294D" w:rsidP="0058294D">
            <w:pPr>
              <w:numPr>
                <w:ilvl w:val="0"/>
                <w:numId w:val="16"/>
              </w:numPr>
            </w:pPr>
            <w:r w:rsidRPr="00772686">
              <w:t xml:space="preserve">Students will complete several POV statements and analyze multiple sources. </w:t>
            </w:r>
          </w:p>
          <w:p w14:paraId="04848F1C" w14:textId="77777777" w:rsidR="0058294D" w:rsidRPr="00772686" w:rsidRDefault="0058294D" w:rsidP="0058294D">
            <w:pPr>
              <w:numPr>
                <w:ilvl w:val="0"/>
                <w:numId w:val="16"/>
              </w:numPr>
            </w:pPr>
            <w:r w:rsidRPr="00772686">
              <w:t xml:space="preserve">This final DBQ will include a proper inclusion of at least 6 of the 7 sources provided as well as 4 of those 6 sources accurately sourced via the requirements provided in the rubric. </w:t>
            </w:r>
          </w:p>
          <w:p w14:paraId="6C72D858" w14:textId="77777777" w:rsidR="0058294D" w:rsidRPr="00772686" w:rsidRDefault="0058294D" w:rsidP="0058294D">
            <w:pPr>
              <w:numPr>
                <w:ilvl w:val="0"/>
                <w:numId w:val="16"/>
              </w:numPr>
            </w:pPr>
            <w:r w:rsidRPr="00772686">
              <w:t xml:space="preserve">A DBQ rubric will be used to assess this summative assessment. </w:t>
            </w:r>
          </w:p>
          <w:p w14:paraId="0CE2AA7F" w14:textId="77777777" w:rsidR="0058294D" w:rsidRPr="00772686" w:rsidRDefault="0058294D" w:rsidP="0058294D">
            <w:r w:rsidRPr="00772686">
              <w:br/>
              <w:t xml:space="preserve">**As a culminating project, students will write a full DBQ for the AP World History Exam in May. </w:t>
            </w:r>
          </w:p>
          <w:p w14:paraId="6EB38DCB" w14:textId="77777777" w:rsidR="0058294D" w:rsidRPr="00772686" w:rsidRDefault="0058294D" w:rsidP="0058294D"/>
          <w:p w14:paraId="4EEE9899" w14:textId="65306673" w:rsidR="00524882" w:rsidRPr="00772686" w:rsidRDefault="00524882" w:rsidP="003A12BD">
            <w:pPr>
              <w:rPr>
                <w:b/>
              </w:rPr>
            </w:pPr>
          </w:p>
        </w:tc>
      </w:tr>
      <w:tr w:rsidR="00524882" w:rsidRPr="00772686" w14:paraId="0BAE7E8F" w14:textId="77777777" w:rsidTr="0058294D">
        <w:trPr>
          <w:trHeight w:val="3360"/>
        </w:trPr>
        <w:tc>
          <w:tcPr>
            <w:tcW w:w="11176" w:type="dxa"/>
            <w:gridSpan w:val="3"/>
          </w:tcPr>
          <w:p w14:paraId="18158BDC" w14:textId="77777777" w:rsidR="00120B21" w:rsidRPr="00772686" w:rsidRDefault="00524882" w:rsidP="003A12BD">
            <w:pPr>
              <w:rPr>
                <w:b/>
                <w:sz w:val="16"/>
                <w:szCs w:val="16"/>
              </w:rPr>
            </w:pPr>
            <w:r w:rsidRPr="00772686">
              <w:rPr>
                <w:b/>
              </w:rPr>
              <w:t>Rubric: (Module 3)</w:t>
            </w:r>
            <w:r w:rsidR="00120B21" w:rsidRPr="00772686">
              <w:rPr>
                <w:b/>
              </w:rPr>
              <w:br/>
            </w:r>
            <w:r w:rsidR="00120B21" w:rsidRPr="00772686">
              <w:rPr>
                <w:b/>
                <w:sz w:val="16"/>
                <w:szCs w:val="16"/>
              </w:rPr>
              <w:br/>
            </w:r>
          </w:p>
          <w:tbl>
            <w:tblPr>
              <w:tblStyle w:val="TableGrid"/>
              <w:tblW w:w="10950" w:type="dxa"/>
              <w:tblLook w:val="04A0" w:firstRow="1" w:lastRow="0" w:firstColumn="1" w:lastColumn="0" w:noHBand="0" w:noVBand="1"/>
            </w:tblPr>
            <w:tblGrid>
              <w:gridCol w:w="1980"/>
              <w:gridCol w:w="1728"/>
              <w:gridCol w:w="1645"/>
              <w:gridCol w:w="1577"/>
              <w:gridCol w:w="1350"/>
              <w:gridCol w:w="1367"/>
              <w:gridCol w:w="1303"/>
            </w:tblGrid>
            <w:tr w:rsidR="00120B21" w:rsidRPr="00772686" w14:paraId="5BC30514" w14:textId="77777777" w:rsidTr="00E7118E">
              <w:trPr>
                <w:trHeight w:val="375"/>
              </w:trPr>
              <w:tc>
                <w:tcPr>
                  <w:tcW w:w="1980" w:type="dxa"/>
                </w:tcPr>
                <w:p w14:paraId="0DA32382" w14:textId="77777777" w:rsidR="00120B21" w:rsidRPr="00772686" w:rsidRDefault="00120B21" w:rsidP="00E7118E">
                  <w:pPr>
                    <w:rPr>
                      <w:b/>
                      <w:sz w:val="16"/>
                      <w:szCs w:val="16"/>
                    </w:rPr>
                  </w:pPr>
                  <w:r w:rsidRPr="00772686">
                    <w:rPr>
                      <w:b/>
                      <w:sz w:val="16"/>
                      <w:szCs w:val="16"/>
                    </w:rPr>
                    <w:t>Contextualization</w:t>
                  </w:r>
                </w:p>
              </w:tc>
              <w:tc>
                <w:tcPr>
                  <w:tcW w:w="1728" w:type="dxa"/>
                </w:tcPr>
                <w:p w14:paraId="4695E8A0" w14:textId="77777777" w:rsidR="00120B21" w:rsidRPr="00772686" w:rsidRDefault="00120B21" w:rsidP="00E7118E">
                  <w:pPr>
                    <w:rPr>
                      <w:b/>
                      <w:sz w:val="16"/>
                      <w:szCs w:val="16"/>
                    </w:rPr>
                  </w:pPr>
                  <w:r w:rsidRPr="00772686">
                    <w:rPr>
                      <w:b/>
                      <w:sz w:val="16"/>
                      <w:szCs w:val="16"/>
                    </w:rPr>
                    <w:t>Thesis</w:t>
                  </w:r>
                </w:p>
              </w:tc>
              <w:tc>
                <w:tcPr>
                  <w:tcW w:w="1645" w:type="dxa"/>
                </w:tcPr>
                <w:p w14:paraId="000A1706" w14:textId="77777777" w:rsidR="00120B21" w:rsidRPr="00772686" w:rsidRDefault="00120B21" w:rsidP="00E7118E">
                  <w:pPr>
                    <w:rPr>
                      <w:b/>
                      <w:sz w:val="16"/>
                      <w:szCs w:val="16"/>
                    </w:rPr>
                  </w:pPr>
                  <w:r w:rsidRPr="00772686">
                    <w:rPr>
                      <w:b/>
                      <w:sz w:val="16"/>
                      <w:szCs w:val="16"/>
                    </w:rPr>
                    <w:t xml:space="preserve">Argument </w:t>
                  </w:r>
                </w:p>
                <w:p w14:paraId="1E21ECF1" w14:textId="77777777" w:rsidR="00120B21" w:rsidRPr="00772686" w:rsidRDefault="00120B21" w:rsidP="00E7118E">
                  <w:pPr>
                    <w:rPr>
                      <w:b/>
                      <w:sz w:val="16"/>
                      <w:szCs w:val="16"/>
                    </w:rPr>
                  </w:pPr>
                  <w:r w:rsidRPr="00772686">
                    <w:rPr>
                      <w:b/>
                      <w:sz w:val="16"/>
                      <w:szCs w:val="16"/>
                    </w:rPr>
                    <w:t>Development</w:t>
                  </w:r>
                </w:p>
              </w:tc>
              <w:tc>
                <w:tcPr>
                  <w:tcW w:w="1577" w:type="dxa"/>
                </w:tcPr>
                <w:p w14:paraId="168B9007" w14:textId="77777777" w:rsidR="00120B21" w:rsidRPr="00772686" w:rsidRDefault="00120B21" w:rsidP="00E7118E">
                  <w:pPr>
                    <w:rPr>
                      <w:b/>
                      <w:sz w:val="16"/>
                      <w:szCs w:val="16"/>
                    </w:rPr>
                  </w:pPr>
                  <w:r w:rsidRPr="00772686">
                    <w:rPr>
                      <w:b/>
                      <w:sz w:val="16"/>
                      <w:szCs w:val="16"/>
                    </w:rPr>
                    <w:t>Use of Evidence</w:t>
                  </w:r>
                </w:p>
              </w:tc>
              <w:tc>
                <w:tcPr>
                  <w:tcW w:w="1350" w:type="dxa"/>
                </w:tcPr>
                <w:p w14:paraId="03211FAF" w14:textId="77777777" w:rsidR="00120B21" w:rsidRPr="00772686" w:rsidRDefault="00120B21" w:rsidP="00E7118E">
                  <w:pPr>
                    <w:rPr>
                      <w:b/>
                      <w:sz w:val="16"/>
                      <w:szCs w:val="16"/>
                    </w:rPr>
                  </w:pPr>
                  <w:r w:rsidRPr="00772686">
                    <w:rPr>
                      <w:b/>
                      <w:sz w:val="16"/>
                      <w:szCs w:val="16"/>
                    </w:rPr>
                    <w:t>Sourcing the Documents</w:t>
                  </w:r>
                </w:p>
              </w:tc>
              <w:tc>
                <w:tcPr>
                  <w:tcW w:w="1367" w:type="dxa"/>
                </w:tcPr>
                <w:p w14:paraId="28C92676" w14:textId="77777777" w:rsidR="00120B21" w:rsidRPr="00772686" w:rsidRDefault="00120B21" w:rsidP="00E7118E">
                  <w:pPr>
                    <w:rPr>
                      <w:b/>
                      <w:sz w:val="16"/>
                      <w:szCs w:val="16"/>
                    </w:rPr>
                  </w:pPr>
                  <w:r w:rsidRPr="00772686">
                    <w:rPr>
                      <w:b/>
                      <w:sz w:val="16"/>
                      <w:szCs w:val="16"/>
                    </w:rPr>
                    <w:t>Outside Evidence</w:t>
                  </w:r>
                </w:p>
              </w:tc>
              <w:tc>
                <w:tcPr>
                  <w:tcW w:w="1303" w:type="dxa"/>
                </w:tcPr>
                <w:p w14:paraId="47D544F3" w14:textId="77777777" w:rsidR="00120B21" w:rsidRPr="00772686" w:rsidRDefault="00120B21" w:rsidP="00E7118E">
                  <w:pPr>
                    <w:rPr>
                      <w:b/>
                      <w:sz w:val="16"/>
                      <w:szCs w:val="16"/>
                    </w:rPr>
                  </w:pPr>
                  <w:r w:rsidRPr="00772686">
                    <w:rPr>
                      <w:b/>
                      <w:sz w:val="16"/>
                      <w:szCs w:val="16"/>
                    </w:rPr>
                    <w:t>Synthesis</w:t>
                  </w:r>
                </w:p>
              </w:tc>
            </w:tr>
            <w:tr w:rsidR="00120B21" w:rsidRPr="00772686" w14:paraId="00376A52" w14:textId="77777777" w:rsidTr="00E7118E">
              <w:trPr>
                <w:trHeight w:val="180"/>
              </w:trPr>
              <w:tc>
                <w:tcPr>
                  <w:tcW w:w="1980" w:type="dxa"/>
                </w:tcPr>
                <w:p w14:paraId="63A6B232" w14:textId="77777777" w:rsidR="00120B21" w:rsidRPr="00772686" w:rsidRDefault="00120B21" w:rsidP="00E7118E">
                  <w:pPr>
                    <w:rPr>
                      <w:b/>
                      <w:sz w:val="16"/>
                      <w:szCs w:val="16"/>
                    </w:rPr>
                  </w:pPr>
                  <w:r w:rsidRPr="00772686">
                    <w:rPr>
                      <w:b/>
                      <w:sz w:val="16"/>
                      <w:szCs w:val="16"/>
                    </w:rPr>
                    <w:t>1 point</w:t>
                  </w:r>
                </w:p>
              </w:tc>
              <w:tc>
                <w:tcPr>
                  <w:tcW w:w="1728" w:type="dxa"/>
                </w:tcPr>
                <w:p w14:paraId="0D0F1184" w14:textId="77777777" w:rsidR="00120B21" w:rsidRPr="00772686" w:rsidRDefault="00120B21" w:rsidP="00E7118E">
                  <w:pPr>
                    <w:rPr>
                      <w:b/>
                      <w:sz w:val="16"/>
                      <w:szCs w:val="16"/>
                    </w:rPr>
                  </w:pPr>
                  <w:r w:rsidRPr="00772686">
                    <w:rPr>
                      <w:b/>
                      <w:sz w:val="16"/>
                      <w:szCs w:val="16"/>
                    </w:rPr>
                    <w:t>1 point</w:t>
                  </w:r>
                </w:p>
              </w:tc>
              <w:tc>
                <w:tcPr>
                  <w:tcW w:w="1645" w:type="dxa"/>
                </w:tcPr>
                <w:p w14:paraId="161FB744" w14:textId="77777777" w:rsidR="00120B21" w:rsidRPr="00772686" w:rsidRDefault="00120B21" w:rsidP="00E7118E">
                  <w:pPr>
                    <w:rPr>
                      <w:b/>
                      <w:sz w:val="16"/>
                      <w:szCs w:val="16"/>
                    </w:rPr>
                  </w:pPr>
                  <w:r w:rsidRPr="00772686">
                    <w:rPr>
                      <w:b/>
                      <w:sz w:val="16"/>
                      <w:szCs w:val="16"/>
                    </w:rPr>
                    <w:t>1 point</w:t>
                  </w:r>
                </w:p>
              </w:tc>
              <w:tc>
                <w:tcPr>
                  <w:tcW w:w="1577" w:type="dxa"/>
                </w:tcPr>
                <w:p w14:paraId="59C67C06" w14:textId="77777777" w:rsidR="00120B21" w:rsidRPr="00772686" w:rsidRDefault="00120B21" w:rsidP="00E7118E">
                  <w:pPr>
                    <w:rPr>
                      <w:b/>
                      <w:sz w:val="16"/>
                      <w:szCs w:val="16"/>
                    </w:rPr>
                  </w:pPr>
                  <w:r w:rsidRPr="00772686">
                    <w:rPr>
                      <w:b/>
                      <w:sz w:val="16"/>
                      <w:szCs w:val="16"/>
                    </w:rPr>
                    <w:t>1 point</w:t>
                  </w:r>
                </w:p>
              </w:tc>
              <w:tc>
                <w:tcPr>
                  <w:tcW w:w="1350" w:type="dxa"/>
                </w:tcPr>
                <w:p w14:paraId="2E90E798" w14:textId="77777777" w:rsidR="00120B21" w:rsidRPr="00772686" w:rsidRDefault="00120B21" w:rsidP="00E7118E">
                  <w:pPr>
                    <w:rPr>
                      <w:b/>
                      <w:sz w:val="16"/>
                      <w:szCs w:val="16"/>
                    </w:rPr>
                  </w:pPr>
                  <w:r w:rsidRPr="00772686">
                    <w:rPr>
                      <w:b/>
                      <w:sz w:val="16"/>
                      <w:szCs w:val="16"/>
                    </w:rPr>
                    <w:t>1 point</w:t>
                  </w:r>
                </w:p>
              </w:tc>
              <w:tc>
                <w:tcPr>
                  <w:tcW w:w="1367" w:type="dxa"/>
                </w:tcPr>
                <w:p w14:paraId="08117DE6" w14:textId="77777777" w:rsidR="00120B21" w:rsidRPr="00772686" w:rsidRDefault="00120B21" w:rsidP="00E7118E">
                  <w:pPr>
                    <w:rPr>
                      <w:b/>
                      <w:sz w:val="16"/>
                      <w:szCs w:val="16"/>
                    </w:rPr>
                  </w:pPr>
                  <w:r w:rsidRPr="00772686">
                    <w:rPr>
                      <w:b/>
                      <w:sz w:val="16"/>
                      <w:szCs w:val="16"/>
                    </w:rPr>
                    <w:t>1 point</w:t>
                  </w:r>
                </w:p>
              </w:tc>
              <w:tc>
                <w:tcPr>
                  <w:tcW w:w="1303" w:type="dxa"/>
                </w:tcPr>
                <w:p w14:paraId="2217A591" w14:textId="77777777" w:rsidR="00120B21" w:rsidRPr="00772686" w:rsidRDefault="00120B21" w:rsidP="00E7118E">
                  <w:pPr>
                    <w:rPr>
                      <w:b/>
                      <w:sz w:val="16"/>
                      <w:szCs w:val="16"/>
                    </w:rPr>
                  </w:pPr>
                  <w:r w:rsidRPr="00772686">
                    <w:rPr>
                      <w:b/>
                      <w:sz w:val="16"/>
                      <w:szCs w:val="16"/>
                    </w:rPr>
                    <w:t>1 point</w:t>
                  </w:r>
                </w:p>
              </w:tc>
            </w:tr>
            <w:tr w:rsidR="00120B21" w:rsidRPr="00772686" w14:paraId="173D697B" w14:textId="77777777" w:rsidTr="00E7118E">
              <w:trPr>
                <w:trHeight w:val="3086"/>
              </w:trPr>
              <w:tc>
                <w:tcPr>
                  <w:tcW w:w="1980" w:type="dxa"/>
                </w:tcPr>
                <w:p w14:paraId="68F67991" w14:textId="77777777" w:rsidR="00120B21" w:rsidRPr="00772686" w:rsidRDefault="00120B21" w:rsidP="00E7118E">
                  <w:pPr>
                    <w:rPr>
                      <w:sz w:val="16"/>
                      <w:szCs w:val="16"/>
                    </w:rPr>
                  </w:pPr>
                  <w:r w:rsidRPr="00772686">
                    <w:rPr>
                      <w:sz w:val="16"/>
                      <w:szCs w:val="16"/>
                    </w:rPr>
                    <w:t xml:space="preserve">Situates the argument by </w:t>
                  </w:r>
                  <w:r w:rsidRPr="00772686">
                    <w:rPr>
                      <w:b/>
                      <w:sz w:val="16"/>
                      <w:szCs w:val="16"/>
                    </w:rPr>
                    <w:t>explaining the broader historical events, developments, or processes</w:t>
                  </w:r>
                  <w:r w:rsidRPr="00772686">
                    <w:rPr>
                      <w:sz w:val="16"/>
                      <w:szCs w:val="16"/>
                    </w:rPr>
                    <w:t xml:space="preserve"> immediately relevant to the question. </w:t>
                  </w:r>
                </w:p>
                <w:p w14:paraId="52A2AF34" w14:textId="77777777" w:rsidR="00120B21" w:rsidRPr="00772686" w:rsidRDefault="00120B21" w:rsidP="00E7118E">
                  <w:pPr>
                    <w:rPr>
                      <w:sz w:val="16"/>
                      <w:szCs w:val="16"/>
                    </w:rPr>
                  </w:pPr>
                </w:p>
                <w:p w14:paraId="46284BF6" w14:textId="77777777" w:rsidR="00120B21" w:rsidRPr="00772686" w:rsidRDefault="00120B21" w:rsidP="00E7118E">
                  <w:pPr>
                    <w:rPr>
                      <w:sz w:val="16"/>
                      <w:szCs w:val="16"/>
                    </w:rPr>
                  </w:pPr>
                  <w:r w:rsidRPr="00772686">
                    <w:rPr>
                      <w:sz w:val="16"/>
                      <w:szCs w:val="16"/>
                    </w:rPr>
                    <w:t>Typically will consist of multiple sentences.</w:t>
                  </w:r>
                </w:p>
              </w:tc>
              <w:tc>
                <w:tcPr>
                  <w:tcW w:w="1728" w:type="dxa"/>
                </w:tcPr>
                <w:p w14:paraId="12F6EFB1" w14:textId="77777777" w:rsidR="00120B21" w:rsidRPr="00772686" w:rsidRDefault="00120B21" w:rsidP="00E7118E">
                  <w:pPr>
                    <w:rPr>
                      <w:sz w:val="16"/>
                      <w:szCs w:val="16"/>
                    </w:rPr>
                  </w:pPr>
                  <w:r w:rsidRPr="00772686">
                    <w:rPr>
                      <w:sz w:val="16"/>
                      <w:szCs w:val="16"/>
                    </w:rPr>
                    <w:t xml:space="preserve">Has </w:t>
                  </w:r>
                  <w:r w:rsidRPr="00772686">
                    <w:rPr>
                      <w:b/>
                      <w:sz w:val="16"/>
                      <w:szCs w:val="16"/>
                    </w:rPr>
                    <w:t>acceptable</w:t>
                  </w:r>
                  <w:r w:rsidRPr="00772686">
                    <w:rPr>
                      <w:sz w:val="16"/>
                      <w:szCs w:val="16"/>
                    </w:rPr>
                    <w:t xml:space="preserve"> </w:t>
                  </w:r>
                  <w:r w:rsidRPr="00772686">
                    <w:rPr>
                      <w:b/>
                      <w:sz w:val="16"/>
                      <w:szCs w:val="16"/>
                    </w:rPr>
                    <w:t>thesis</w:t>
                  </w:r>
                  <w:r w:rsidRPr="00772686">
                    <w:rPr>
                      <w:sz w:val="16"/>
                      <w:szCs w:val="16"/>
                    </w:rPr>
                    <w:t xml:space="preserve"> that </w:t>
                  </w:r>
                  <w:r w:rsidRPr="00772686">
                    <w:rPr>
                      <w:b/>
                      <w:sz w:val="16"/>
                      <w:szCs w:val="16"/>
                    </w:rPr>
                    <w:t>makes a historically defensible claim</w:t>
                  </w:r>
                  <w:r w:rsidRPr="00772686">
                    <w:rPr>
                      <w:sz w:val="16"/>
                      <w:szCs w:val="16"/>
                    </w:rPr>
                    <w:t xml:space="preserve"> that responds to all parts of the question.</w:t>
                  </w:r>
                </w:p>
                <w:p w14:paraId="26560C2E" w14:textId="77777777" w:rsidR="00120B21" w:rsidRPr="00772686" w:rsidRDefault="00120B21" w:rsidP="00E7118E">
                  <w:pPr>
                    <w:rPr>
                      <w:sz w:val="16"/>
                      <w:szCs w:val="16"/>
                    </w:rPr>
                  </w:pPr>
                </w:p>
                <w:p w14:paraId="4E1E0100" w14:textId="77777777" w:rsidR="00120B21" w:rsidRPr="00772686" w:rsidRDefault="00120B21" w:rsidP="00E7118E">
                  <w:pPr>
                    <w:rPr>
                      <w:sz w:val="16"/>
                      <w:szCs w:val="16"/>
                    </w:rPr>
                  </w:pPr>
                  <w:r w:rsidRPr="00772686">
                    <w:rPr>
                      <w:sz w:val="16"/>
                      <w:szCs w:val="16"/>
                    </w:rPr>
                    <w:t>Must be located in introduction or conclusion of essay.</w:t>
                  </w:r>
                </w:p>
              </w:tc>
              <w:tc>
                <w:tcPr>
                  <w:tcW w:w="1645" w:type="dxa"/>
                </w:tcPr>
                <w:p w14:paraId="701930FE" w14:textId="77777777" w:rsidR="00120B21" w:rsidRPr="00772686" w:rsidRDefault="00120B21" w:rsidP="00E7118E">
                  <w:pPr>
                    <w:rPr>
                      <w:b/>
                      <w:sz w:val="16"/>
                      <w:szCs w:val="16"/>
                    </w:rPr>
                  </w:pPr>
                  <w:r w:rsidRPr="00772686">
                    <w:rPr>
                      <w:b/>
                      <w:sz w:val="16"/>
                      <w:szCs w:val="16"/>
                    </w:rPr>
                    <w:t>Develops and supports a cohesive argument</w:t>
                  </w:r>
                  <w:r w:rsidRPr="00772686">
                    <w:rPr>
                      <w:sz w:val="16"/>
                      <w:szCs w:val="16"/>
                    </w:rPr>
                    <w:t xml:space="preserve"> that recognizes and </w:t>
                  </w:r>
                  <w:r w:rsidRPr="00772686">
                    <w:rPr>
                      <w:b/>
                      <w:sz w:val="16"/>
                      <w:szCs w:val="16"/>
                    </w:rPr>
                    <w:t>accounts for historical complexity</w:t>
                  </w:r>
                  <w:r w:rsidRPr="00772686">
                    <w:rPr>
                      <w:sz w:val="16"/>
                      <w:szCs w:val="16"/>
                    </w:rPr>
                    <w:t xml:space="preserve">. </w:t>
                  </w:r>
                </w:p>
                <w:p w14:paraId="117971DE" w14:textId="77777777" w:rsidR="00120B21" w:rsidRPr="00772686" w:rsidRDefault="00120B21" w:rsidP="00E7118E">
                  <w:pPr>
                    <w:rPr>
                      <w:b/>
                      <w:sz w:val="16"/>
                      <w:szCs w:val="16"/>
                    </w:rPr>
                  </w:pPr>
                </w:p>
                <w:p w14:paraId="7B121335" w14:textId="77777777" w:rsidR="00120B21" w:rsidRPr="00772686" w:rsidRDefault="00120B21" w:rsidP="00E7118E">
                  <w:pPr>
                    <w:rPr>
                      <w:sz w:val="16"/>
                      <w:szCs w:val="16"/>
                    </w:rPr>
                  </w:pPr>
                  <w:r w:rsidRPr="00772686">
                    <w:rPr>
                      <w:sz w:val="16"/>
                      <w:szCs w:val="16"/>
                    </w:rPr>
                    <w:t xml:space="preserve">Essay shows a relationship among the sources through </w:t>
                  </w:r>
                  <w:r w:rsidRPr="00772686">
                    <w:rPr>
                      <w:b/>
                      <w:sz w:val="16"/>
                      <w:szCs w:val="16"/>
                    </w:rPr>
                    <w:t>contradiction, corroboration, and/or qualification.</w:t>
                  </w:r>
                </w:p>
              </w:tc>
              <w:tc>
                <w:tcPr>
                  <w:tcW w:w="1577" w:type="dxa"/>
                </w:tcPr>
                <w:p w14:paraId="7F77D5FB" w14:textId="77777777" w:rsidR="00120B21" w:rsidRPr="00772686" w:rsidRDefault="00120B21" w:rsidP="00E7118E">
                  <w:pPr>
                    <w:rPr>
                      <w:sz w:val="16"/>
                      <w:szCs w:val="16"/>
                    </w:rPr>
                  </w:pPr>
                  <w:r w:rsidRPr="00772686">
                    <w:rPr>
                      <w:sz w:val="16"/>
                      <w:szCs w:val="16"/>
                    </w:rPr>
                    <w:t xml:space="preserve">Specific and </w:t>
                  </w:r>
                  <w:r w:rsidRPr="00772686">
                    <w:rPr>
                      <w:b/>
                      <w:sz w:val="16"/>
                      <w:szCs w:val="16"/>
                    </w:rPr>
                    <w:t>accurate evidence is utilized from at least 6 of the sources</w:t>
                  </w:r>
                  <w:r w:rsidRPr="00772686">
                    <w:rPr>
                      <w:sz w:val="16"/>
                      <w:szCs w:val="16"/>
                    </w:rPr>
                    <w:t xml:space="preserve"> to appropriately address the prompt.</w:t>
                  </w:r>
                </w:p>
                <w:p w14:paraId="3358F698" w14:textId="77777777" w:rsidR="00120B21" w:rsidRPr="00772686" w:rsidRDefault="00120B21" w:rsidP="00E7118E">
                  <w:pPr>
                    <w:rPr>
                      <w:sz w:val="16"/>
                      <w:szCs w:val="16"/>
                    </w:rPr>
                  </w:pPr>
                </w:p>
                <w:p w14:paraId="76F8FB29" w14:textId="77777777" w:rsidR="00120B21" w:rsidRPr="00772686" w:rsidRDefault="00120B21" w:rsidP="00E7118E">
                  <w:pPr>
                    <w:rPr>
                      <w:sz w:val="16"/>
                      <w:szCs w:val="16"/>
                    </w:rPr>
                  </w:pPr>
                  <w:r w:rsidRPr="00772686">
                    <w:rPr>
                      <w:sz w:val="16"/>
                      <w:szCs w:val="16"/>
                    </w:rPr>
                    <w:t xml:space="preserve">Showing understanding is insufficient. </w:t>
                  </w:r>
                  <w:r w:rsidRPr="00772686">
                    <w:rPr>
                      <w:b/>
                      <w:sz w:val="16"/>
                      <w:szCs w:val="16"/>
                    </w:rPr>
                    <w:t>Sources must be “deployed” to support thesis.</w:t>
                  </w:r>
                </w:p>
              </w:tc>
              <w:tc>
                <w:tcPr>
                  <w:tcW w:w="1350" w:type="dxa"/>
                </w:tcPr>
                <w:p w14:paraId="48C83AD9" w14:textId="77777777" w:rsidR="00120B21" w:rsidRPr="00772686" w:rsidRDefault="00120B21" w:rsidP="00E7118E">
                  <w:pPr>
                    <w:rPr>
                      <w:sz w:val="16"/>
                      <w:szCs w:val="16"/>
                    </w:rPr>
                  </w:pPr>
                  <w:r w:rsidRPr="00772686">
                    <w:rPr>
                      <w:b/>
                      <w:sz w:val="16"/>
                      <w:szCs w:val="16"/>
                    </w:rPr>
                    <w:t>Explains the significance</w:t>
                  </w:r>
                  <w:r w:rsidRPr="00772686">
                    <w:rPr>
                      <w:sz w:val="16"/>
                      <w:szCs w:val="16"/>
                    </w:rPr>
                    <w:t xml:space="preserve"> of the author’s point of view, author’s purpose, historical context, and/or </w:t>
                  </w:r>
                </w:p>
                <w:p w14:paraId="4486607D" w14:textId="77777777" w:rsidR="00120B21" w:rsidRPr="00772686" w:rsidRDefault="00120B21" w:rsidP="00E7118E">
                  <w:pPr>
                    <w:rPr>
                      <w:sz w:val="16"/>
                      <w:szCs w:val="16"/>
                    </w:rPr>
                  </w:pPr>
                  <w:r w:rsidRPr="00772686">
                    <w:rPr>
                      <w:sz w:val="16"/>
                      <w:szCs w:val="16"/>
                    </w:rPr>
                    <w:t>audience</w:t>
                  </w:r>
                  <w:r w:rsidRPr="00772686">
                    <w:rPr>
                      <w:b/>
                      <w:sz w:val="16"/>
                      <w:szCs w:val="16"/>
                    </w:rPr>
                    <w:t xml:space="preserve"> for at least four documents</w:t>
                  </w:r>
                  <w:r w:rsidRPr="00772686">
                    <w:rPr>
                      <w:sz w:val="16"/>
                      <w:szCs w:val="16"/>
                    </w:rPr>
                    <w:t xml:space="preserve">. </w:t>
                  </w:r>
                </w:p>
                <w:p w14:paraId="72306416" w14:textId="77777777" w:rsidR="00120B21" w:rsidRPr="00772686" w:rsidRDefault="00120B21" w:rsidP="00E7118E">
                  <w:pPr>
                    <w:rPr>
                      <w:sz w:val="16"/>
                      <w:szCs w:val="16"/>
                    </w:rPr>
                  </w:pPr>
                </w:p>
              </w:tc>
              <w:tc>
                <w:tcPr>
                  <w:tcW w:w="1367" w:type="dxa"/>
                </w:tcPr>
                <w:p w14:paraId="457CA78A" w14:textId="77777777" w:rsidR="00120B21" w:rsidRPr="00772686" w:rsidRDefault="00120B21" w:rsidP="00E7118E">
                  <w:pPr>
                    <w:rPr>
                      <w:sz w:val="16"/>
                      <w:szCs w:val="16"/>
                    </w:rPr>
                  </w:pPr>
                  <w:r w:rsidRPr="00772686">
                    <w:rPr>
                      <w:b/>
                      <w:sz w:val="16"/>
                      <w:szCs w:val="16"/>
                    </w:rPr>
                    <w:t>Provides</w:t>
                  </w:r>
                  <w:r w:rsidRPr="00772686">
                    <w:rPr>
                      <w:sz w:val="16"/>
                      <w:szCs w:val="16"/>
                    </w:rPr>
                    <w:t xml:space="preserve"> an example or additional piece of </w:t>
                  </w:r>
                  <w:r w:rsidRPr="00772686">
                    <w:rPr>
                      <w:b/>
                      <w:sz w:val="16"/>
                      <w:szCs w:val="16"/>
                    </w:rPr>
                    <w:t>evidence beyond those found in the documents</w:t>
                  </w:r>
                  <w:r w:rsidRPr="00772686">
                    <w:rPr>
                      <w:sz w:val="16"/>
                      <w:szCs w:val="16"/>
                    </w:rPr>
                    <w:t xml:space="preserve"> to support or qualify the argument.</w:t>
                  </w:r>
                </w:p>
                <w:p w14:paraId="5A34233C" w14:textId="77777777" w:rsidR="00120B21" w:rsidRPr="00772686" w:rsidRDefault="00120B21" w:rsidP="00E7118E">
                  <w:pPr>
                    <w:rPr>
                      <w:sz w:val="16"/>
                      <w:szCs w:val="16"/>
                    </w:rPr>
                  </w:pPr>
                </w:p>
                <w:p w14:paraId="1D38A74A" w14:textId="77777777" w:rsidR="00120B21" w:rsidRPr="00772686" w:rsidRDefault="00120B21" w:rsidP="00E7118E">
                  <w:pPr>
                    <w:rPr>
                      <w:sz w:val="16"/>
                      <w:szCs w:val="16"/>
                    </w:rPr>
                  </w:pPr>
                  <w:r w:rsidRPr="00772686">
                    <w:rPr>
                      <w:sz w:val="16"/>
                      <w:szCs w:val="16"/>
                    </w:rPr>
                    <w:t xml:space="preserve">Outside evidence cannot be simple facts; it </w:t>
                  </w:r>
                  <w:r w:rsidRPr="00772686">
                    <w:rPr>
                      <w:b/>
                      <w:sz w:val="16"/>
                      <w:szCs w:val="16"/>
                    </w:rPr>
                    <w:t>must be used to support and strengthen the argument</w:t>
                  </w:r>
                  <w:r w:rsidRPr="00772686">
                    <w:rPr>
                      <w:sz w:val="16"/>
                      <w:szCs w:val="16"/>
                    </w:rPr>
                    <w:t>.</w:t>
                  </w:r>
                </w:p>
              </w:tc>
              <w:tc>
                <w:tcPr>
                  <w:tcW w:w="1303" w:type="dxa"/>
                </w:tcPr>
                <w:p w14:paraId="21768A57" w14:textId="77777777" w:rsidR="00120B21" w:rsidRPr="00772686" w:rsidRDefault="00120B21" w:rsidP="00E7118E">
                  <w:pPr>
                    <w:rPr>
                      <w:sz w:val="16"/>
                      <w:szCs w:val="16"/>
                    </w:rPr>
                  </w:pPr>
                  <w:r w:rsidRPr="00772686">
                    <w:rPr>
                      <w:b/>
                      <w:sz w:val="16"/>
                      <w:szCs w:val="16"/>
                    </w:rPr>
                    <w:t>Extends the argument</w:t>
                  </w:r>
                  <w:r w:rsidRPr="00772686">
                    <w:rPr>
                      <w:sz w:val="16"/>
                      <w:szCs w:val="16"/>
                    </w:rPr>
                    <w:t xml:space="preserve"> by FULLY explaining connections through either:</w:t>
                  </w:r>
                </w:p>
                <w:p w14:paraId="5BA5F7E2" w14:textId="77777777" w:rsidR="00120B21" w:rsidRPr="00772686" w:rsidRDefault="00120B21" w:rsidP="00E7118E">
                  <w:pPr>
                    <w:rPr>
                      <w:b/>
                      <w:sz w:val="16"/>
                      <w:szCs w:val="16"/>
                    </w:rPr>
                  </w:pPr>
                  <w:r w:rsidRPr="00772686">
                    <w:rPr>
                      <w:sz w:val="16"/>
                      <w:szCs w:val="16"/>
                    </w:rPr>
                    <w:t xml:space="preserve">1. </w:t>
                  </w:r>
                  <w:r w:rsidRPr="00772686">
                    <w:rPr>
                      <w:b/>
                      <w:sz w:val="16"/>
                      <w:szCs w:val="16"/>
                    </w:rPr>
                    <w:t xml:space="preserve">A different region </w:t>
                  </w:r>
                </w:p>
                <w:p w14:paraId="09236F7F" w14:textId="77777777" w:rsidR="00120B21" w:rsidRPr="00772686" w:rsidRDefault="00120B21" w:rsidP="00E7118E">
                  <w:pPr>
                    <w:rPr>
                      <w:sz w:val="16"/>
                      <w:szCs w:val="16"/>
                    </w:rPr>
                  </w:pPr>
                  <w:r w:rsidRPr="00772686">
                    <w:rPr>
                      <w:b/>
                      <w:sz w:val="16"/>
                      <w:szCs w:val="16"/>
                    </w:rPr>
                    <w:t>2. A different time period</w:t>
                  </w:r>
                  <w:r w:rsidRPr="00772686">
                    <w:rPr>
                      <w:sz w:val="16"/>
                      <w:szCs w:val="16"/>
                    </w:rPr>
                    <w:t xml:space="preserve"> </w:t>
                  </w:r>
                </w:p>
                <w:p w14:paraId="2F791F2C" w14:textId="77777777" w:rsidR="00120B21" w:rsidRPr="00772686" w:rsidRDefault="00120B21" w:rsidP="00E7118E">
                  <w:pPr>
                    <w:rPr>
                      <w:sz w:val="16"/>
                      <w:szCs w:val="16"/>
                    </w:rPr>
                  </w:pPr>
                  <w:r w:rsidRPr="00772686">
                    <w:rPr>
                      <w:sz w:val="16"/>
                      <w:szCs w:val="16"/>
                    </w:rPr>
                    <w:t xml:space="preserve">3. </w:t>
                  </w:r>
                  <w:r w:rsidRPr="00772686">
                    <w:rPr>
                      <w:b/>
                      <w:sz w:val="16"/>
                      <w:szCs w:val="16"/>
                    </w:rPr>
                    <w:t>A different course theme or approach to history</w:t>
                  </w:r>
                  <w:r w:rsidRPr="00772686">
                    <w:rPr>
                      <w:sz w:val="16"/>
                      <w:szCs w:val="16"/>
                    </w:rPr>
                    <w:t xml:space="preserve"> that is not the focus of the essay.</w:t>
                  </w:r>
                </w:p>
                <w:p w14:paraId="54ADB220" w14:textId="77777777" w:rsidR="00120B21" w:rsidRPr="00772686" w:rsidRDefault="00120B21" w:rsidP="00E7118E">
                  <w:pPr>
                    <w:rPr>
                      <w:sz w:val="16"/>
                      <w:szCs w:val="16"/>
                    </w:rPr>
                  </w:pPr>
                </w:p>
                <w:p w14:paraId="269758FB" w14:textId="77777777" w:rsidR="00120B21" w:rsidRPr="00772686" w:rsidRDefault="00120B21" w:rsidP="00E7118E">
                  <w:pPr>
                    <w:rPr>
                      <w:b/>
                      <w:sz w:val="16"/>
                      <w:szCs w:val="16"/>
                    </w:rPr>
                  </w:pPr>
                  <w:r w:rsidRPr="00772686">
                    <w:rPr>
                      <w:b/>
                      <w:sz w:val="16"/>
                      <w:szCs w:val="16"/>
                    </w:rPr>
                    <w:t>Must be used to strengthen thesis.</w:t>
                  </w:r>
                </w:p>
              </w:tc>
            </w:tr>
          </w:tbl>
          <w:p w14:paraId="7DD5BC87" w14:textId="424CD1B3" w:rsidR="00524882" w:rsidRPr="00772686" w:rsidRDefault="00524882" w:rsidP="003A12BD">
            <w:pPr>
              <w:rPr>
                <w:b/>
              </w:rPr>
            </w:pPr>
          </w:p>
        </w:tc>
      </w:tr>
      <w:tr w:rsidR="00524882" w:rsidRPr="00772686" w14:paraId="7F2A2B57" w14:textId="77777777" w:rsidTr="0058294D">
        <w:trPr>
          <w:trHeight w:val="4596"/>
        </w:trPr>
        <w:tc>
          <w:tcPr>
            <w:tcW w:w="5629" w:type="dxa"/>
            <w:gridSpan w:val="2"/>
          </w:tcPr>
          <w:p w14:paraId="4039DCA3" w14:textId="77777777" w:rsidR="00524882" w:rsidRPr="00772686" w:rsidRDefault="00524882" w:rsidP="003A12BD">
            <w:pPr>
              <w:rPr>
                <w:b/>
              </w:rPr>
            </w:pPr>
          </w:p>
          <w:p w14:paraId="06D224E5" w14:textId="77777777" w:rsidR="00524882" w:rsidRPr="00772686" w:rsidRDefault="00524882" w:rsidP="003A12BD">
            <w:pPr>
              <w:rPr>
                <w:b/>
              </w:rPr>
            </w:pPr>
            <w:r w:rsidRPr="00772686">
              <w:rPr>
                <w:b/>
              </w:rPr>
              <w:t>Self or Peer Assessments (Module 5)</w:t>
            </w:r>
          </w:p>
          <w:p w14:paraId="46DE2A33" w14:textId="77777777" w:rsidR="00524882" w:rsidRPr="00772686" w:rsidRDefault="00524882" w:rsidP="003A12BD">
            <w:pPr>
              <w:rPr>
                <w:b/>
              </w:rPr>
            </w:pPr>
          </w:p>
          <w:p w14:paraId="7A6FE3B5" w14:textId="77777777" w:rsidR="0058294D" w:rsidRPr="00772686" w:rsidRDefault="0058294D" w:rsidP="0058294D">
            <w:pPr>
              <w:numPr>
                <w:ilvl w:val="0"/>
                <w:numId w:val="16"/>
              </w:numPr>
            </w:pPr>
            <w:r w:rsidRPr="00772686">
              <w:t>Students are given the essay rubric prior to writing.</w:t>
            </w:r>
            <w:r w:rsidRPr="00772686">
              <w:br/>
            </w:r>
          </w:p>
          <w:p w14:paraId="317F8307" w14:textId="77777777" w:rsidR="0058294D" w:rsidRPr="00772686" w:rsidRDefault="0058294D" w:rsidP="0058294D">
            <w:pPr>
              <w:numPr>
                <w:ilvl w:val="0"/>
                <w:numId w:val="16"/>
              </w:numPr>
            </w:pPr>
            <w:r w:rsidRPr="00772686">
              <w:t>Feedback will be given on students’ drafts.</w:t>
            </w:r>
          </w:p>
          <w:p w14:paraId="03D26928" w14:textId="77777777" w:rsidR="0058294D" w:rsidRPr="00772686" w:rsidRDefault="0058294D" w:rsidP="0058294D">
            <w:pPr>
              <w:ind w:left="720"/>
            </w:pPr>
          </w:p>
          <w:p w14:paraId="3A18CD31" w14:textId="77777777" w:rsidR="0058294D" w:rsidRPr="00772686" w:rsidRDefault="0058294D" w:rsidP="0058294D">
            <w:pPr>
              <w:numPr>
                <w:ilvl w:val="0"/>
                <w:numId w:val="16"/>
              </w:numPr>
            </w:pPr>
            <w:r w:rsidRPr="00772686">
              <w:t>Students will go through a “Writer’s Workshop” during the drafting process.</w:t>
            </w:r>
          </w:p>
          <w:p w14:paraId="6484AA57" w14:textId="77777777" w:rsidR="0058294D" w:rsidRPr="00772686" w:rsidRDefault="0058294D" w:rsidP="0058294D">
            <w:pPr>
              <w:ind w:left="720"/>
            </w:pPr>
          </w:p>
          <w:p w14:paraId="5087A7C4" w14:textId="77777777" w:rsidR="0058294D" w:rsidRPr="00772686" w:rsidRDefault="0058294D" w:rsidP="0058294D">
            <w:pPr>
              <w:numPr>
                <w:ilvl w:val="0"/>
                <w:numId w:val="16"/>
              </w:numPr>
            </w:pPr>
            <w:r w:rsidRPr="00772686">
              <w:t>Students will peer-edit one another’s essays.</w:t>
            </w:r>
          </w:p>
          <w:p w14:paraId="7D5DF48C" w14:textId="77777777" w:rsidR="00524882" w:rsidRPr="00772686" w:rsidRDefault="00524882" w:rsidP="003A12BD"/>
        </w:tc>
        <w:tc>
          <w:tcPr>
            <w:tcW w:w="5547" w:type="dxa"/>
          </w:tcPr>
          <w:p w14:paraId="187B9E64" w14:textId="77777777" w:rsidR="00524882" w:rsidRPr="00772686" w:rsidRDefault="00524882" w:rsidP="003A12BD"/>
          <w:p w14:paraId="59781BCC" w14:textId="77777777" w:rsidR="00524882" w:rsidRPr="00772686" w:rsidRDefault="00524882" w:rsidP="003A12BD">
            <w:pPr>
              <w:rPr>
                <w:b/>
              </w:rPr>
            </w:pPr>
            <w:r w:rsidRPr="00772686">
              <w:rPr>
                <w:b/>
              </w:rPr>
              <w:t>Formative Assessments, Summative Assessments, etc. (Module 3)</w:t>
            </w:r>
          </w:p>
          <w:p w14:paraId="7DE9D8DE" w14:textId="77777777" w:rsidR="00524882" w:rsidRPr="00772686" w:rsidRDefault="00524882" w:rsidP="003A12BD">
            <w:pPr>
              <w:rPr>
                <w:b/>
              </w:rPr>
            </w:pPr>
          </w:p>
          <w:p w14:paraId="6C2B3B0E" w14:textId="3F91B228" w:rsidR="00524882" w:rsidRPr="00772686" w:rsidRDefault="00120B21"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 xml:space="preserve">Sourcing </w:t>
            </w:r>
            <w:r w:rsidR="0058294D" w:rsidRPr="00772686">
              <w:rPr>
                <w:rFonts w:ascii="Times New Roman" w:hAnsi="Times New Roman" w:cs="Times New Roman"/>
                <w:sz w:val="24"/>
                <w:szCs w:val="24"/>
              </w:rPr>
              <w:t>Quiz</w:t>
            </w:r>
            <w:r w:rsidRPr="00772686">
              <w:rPr>
                <w:rFonts w:ascii="Times New Roman" w:hAnsi="Times New Roman" w:cs="Times New Roman"/>
                <w:sz w:val="24"/>
                <w:szCs w:val="24"/>
              </w:rPr>
              <w:t xml:space="preserve"> </w:t>
            </w:r>
            <w:r w:rsidR="0058294D" w:rsidRPr="00772686">
              <w:rPr>
                <w:rFonts w:ascii="Times New Roman" w:hAnsi="Times New Roman" w:cs="Times New Roman"/>
                <w:sz w:val="24"/>
                <w:szCs w:val="24"/>
              </w:rPr>
              <w:t>(Warm Up)</w:t>
            </w:r>
          </w:p>
          <w:p w14:paraId="0993DE9A" w14:textId="77777777" w:rsidR="00120B21" w:rsidRPr="00772686" w:rsidRDefault="00120B21"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PASTA Protocol (formative)</w:t>
            </w:r>
          </w:p>
          <w:p w14:paraId="3DDFCD77" w14:textId="77777777" w:rsidR="00120B21" w:rsidRPr="00772686" w:rsidRDefault="00120B21"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POV Statement Quizzes (Summative)</w:t>
            </w:r>
          </w:p>
          <w:p w14:paraId="4DDA16FC" w14:textId="7F3BF413" w:rsidR="00120B21" w:rsidRPr="00772686" w:rsidRDefault="00120B21"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DBQ Essay Draft (Formative)</w:t>
            </w:r>
          </w:p>
          <w:p w14:paraId="36FE70EA" w14:textId="77777777" w:rsidR="00120B21" w:rsidRPr="00772686" w:rsidRDefault="00120B21"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DBQ Essay (Summative)</w:t>
            </w:r>
          </w:p>
          <w:p w14:paraId="1D0085CA" w14:textId="38194A75" w:rsidR="0058294D" w:rsidRPr="00772686" w:rsidRDefault="0058294D" w:rsidP="00772686">
            <w:pPr>
              <w:pStyle w:val="ListParagraph"/>
              <w:numPr>
                <w:ilvl w:val="0"/>
                <w:numId w:val="19"/>
              </w:numPr>
              <w:spacing w:line="240" w:lineRule="auto"/>
              <w:rPr>
                <w:rFonts w:ascii="Times New Roman" w:hAnsi="Times New Roman" w:cs="Times New Roman"/>
                <w:sz w:val="24"/>
                <w:szCs w:val="24"/>
              </w:rPr>
            </w:pPr>
            <w:r w:rsidRPr="00772686">
              <w:rPr>
                <w:rFonts w:ascii="Times New Roman" w:hAnsi="Times New Roman" w:cs="Times New Roman"/>
                <w:sz w:val="24"/>
                <w:szCs w:val="24"/>
              </w:rPr>
              <w:t>Whip Around (Share Session)</w:t>
            </w:r>
          </w:p>
          <w:p w14:paraId="7D14A009" w14:textId="77777777" w:rsidR="0058294D" w:rsidRPr="00772686" w:rsidRDefault="0058294D" w:rsidP="0058294D"/>
          <w:p w14:paraId="1B4C846A" w14:textId="77777777" w:rsidR="0058294D" w:rsidRPr="00772686" w:rsidRDefault="0058294D" w:rsidP="0058294D">
            <w:pPr>
              <w:rPr>
                <w:b/>
              </w:rPr>
            </w:pPr>
            <w:r w:rsidRPr="00772686">
              <w:rPr>
                <w:b/>
              </w:rPr>
              <w:t xml:space="preserve">Differentiated Assessment Approaches: </w:t>
            </w:r>
          </w:p>
          <w:p w14:paraId="618095D2" w14:textId="77777777" w:rsidR="0058294D" w:rsidRPr="00772686" w:rsidRDefault="0058294D" w:rsidP="0058294D">
            <w:r w:rsidRPr="00772686">
              <w:t>All IEP accommodations will be met, but overall, the final assessment is dictated by College Board Advanced Placement standards of assessment and performance. Other than some additional or extended time on assignments, students need to meet the College Board standards to earn a passing grade of 3 or above on the AP exam.</w:t>
            </w:r>
          </w:p>
          <w:p w14:paraId="0F31A8EC" w14:textId="0E6AFDF0" w:rsidR="0058294D" w:rsidRPr="00772686" w:rsidRDefault="0058294D" w:rsidP="0058294D"/>
        </w:tc>
      </w:tr>
      <w:tr w:rsidR="00524882" w:rsidRPr="00772686" w14:paraId="5E594FD0" w14:textId="77777777" w:rsidTr="0058294D">
        <w:tc>
          <w:tcPr>
            <w:tcW w:w="11176" w:type="dxa"/>
            <w:gridSpan w:val="3"/>
            <w:shd w:val="pct10" w:color="auto" w:fill="auto"/>
          </w:tcPr>
          <w:p w14:paraId="0FCD9EFF" w14:textId="42B0A9B3" w:rsidR="00524882" w:rsidRPr="00772686" w:rsidRDefault="00524882" w:rsidP="003A12BD">
            <w:pPr>
              <w:jc w:val="center"/>
              <w:rPr>
                <w:b/>
              </w:rPr>
            </w:pPr>
            <w:r w:rsidRPr="00772686">
              <w:rPr>
                <w:b/>
              </w:rPr>
              <w:t xml:space="preserve">Stage 3 – Learning Plan – Directly Aligned to Content Standard AND Assessments </w:t>
            </w:r>
          </w:p>
        </w:tc>
      </w:tr>
      <w:tr w:rsidR="00524882" w:rsidRPr="00772686" w14:paraId="4B38335B" w14:textId="77777777" w:rsidTr="0058294D">
        <w:trPr>
          <w:trHeight w:val="2510"/>
        </w:trPr>
        <w:tc>
          <w:tcPr>
            <w:tcW w:w="11176" w:type="dxa"/>
            <w:gridSpan w:val="3"/>
          </w:tcPr>
          <w:p w14:paraId="2357BABA" w14:textId="4B9C0296" w:rsidR="00524882" w:rsidRPr="00772686" w:rsidRDefault="00524882" w:rsidP="003A12BD">
            <w:pPr>
              <w:rPr>
                <w:b/>
              </w:rPr>
            </w:pPr>
            <w:r w:rsidRPr="00772686">
              <w:rPr>
                <w:b/>
              </w:rPr>
              <w:t>Learning Activities: (Module 4)</w:t>
            </w:r>
            <w:r w:rsidR="00772686">
              <w:rPr>
                <w:b/>
              </w:rPr>
              <w:br/>
            </w:r>
          </w:p>
          <w:p w14:paraId="69F48574" w14:textId="455AFB9F" w:rsidR="00C44249" w:rsidRPr="00772686" w:rsidRDefault="00C44249" w:rsidP="00C44249">
            <w:pPr>
              <w:numPr>
                <w:ilvl w:val="0"/>
                <w:numId w:val="20"/>
              </w:numPr>
            </w:pPr>
            <w:r w:rsidRPr="00772686">
              <w:t xml:space="preserve">Essential Question “Briefing” (5 minutes): This reminds students that we are focused on a specific historical thinking skill.  It is a simple and short reminder to focus the class. </w:t>
            </w:r>
            <w:r w:rsidRPr="00772686">
              <w:rPr>
                <w:b/>
              </w:rPr>
              <w:t>(Curiosity, Connection, Coherence)</w:t>
            </w:r>
          </w:p>
          <w:p w14:paraId="64B0A0D5" w14:textId="4FF699B1" w:rsidR="00C44249" w:rsidRPr="00772686" w:rsidRDefault="00C44249" w:rsidP="00C44249">
            <w:pPr>
              <w:numPr>
                <w:ilvl w:val="0"/>
                <w:numId w:val="20"/>
              </w:numPr>
            </w:pPr>
            <w:r w:rsidRPr="00772686">
              <w:t xml:space="preserve">Pre-assessment (15 minutes): POV Practice (Warm-up) </w:t>
            </w:r>
            <w:r w:rsidRPr="00772686">
              <w:rPr>
                <w:b/>
              </w:rPr>
              <w:t>(Connection)</w:t>
            </w:r>
          </w:p>
          <w:p w14:paraId="67170895" w14:textId="4FDCD01E" w:rsidR="00C44249" w:rsidRPr="00772686" w:rsidRDefault="00C44249" w:rsidP="00C44249">
            <w:pPr>
              <w:numPr>
                <w:ilvl w:val="0"/>
                <w:numId w:val="20"/>
              </w:numPr>
            </w:pPr>
            <w:r w:rsidRPr="00772686">
              <w:t xml:space="preserve">Mini-Lesson (10 minutes): PASTA Protocol </w:t>
            </w:r>
            <w:r w:rsidRPr="00772686">
              <w:rPr>
                <w:b/>
              </w:rPr>
              <w:t>(Coherence)</w:t>
            </w:r>
          </w:p>
          <w:p w14:paraId="79B129F8" w14:textId="77777777" w:rsidR="00C44249" w:rsidRPr="00772686" w:rsidRDefault="00C44249" w:rsidP="00C44249">
            <w:pPr>
              <w:numPr>
                <w:ilvl w:val="0"/>
                <w:numId w:val="20"/>
              </w:numPr>
            </w:pPr>
            <w:r w:rsidRPr="00772686">
              <w:t xml:space="preserve">Unit Plan Learning Targets (10 minutes TOTAL): Self-assessment before, during, and after. </w:t>
            </w:r>
            <w:r w:rsidRPr="00772686">
              <w:rPr>
                <w:b/>
              </w:rPr>
              <w:t>(Coherence, Connection, Context)</w:t>
            </w:r>
          </w:p>
          <w:p w14:paraId="1CA41A3D" w14:textId="149827FE" w:rsidR="00C44249" w:rsidRPr="00772686" w:rsidRDefault="00C44249" w:rsidP="00C44249">
            <w:pPr>
              <w:numPr>
                <w:ilvl w:val="0"/>
                <w:numId w:val="20"/>
              </w:numPr>
            </w:pPr>
            <w:r w:rsidRPr="00772686">
              <w:t xml:space="preserve">Students will work through </w:t>
            </w:r>
            <w:r w:rsidR="0058294D" w:rsidRPr="00772686">
              <w:t xml:space="preserve">the sources in </w:t>
            </w:r>
            <w:r w:rsidR="00772686">
              <w:t>their groups</w:t>
            </w:r>
            <w:r w:rsidRPr="00772686">
              <w:t xml:space="preserve"> to complete the </w:t>
            </w:r>
            <w:r w:rsidR="0058294D" w:rsidRPr="00772686">
              <w:t>PASTA Protocol</w:t>
            </w:r>
            <w:r w:rsidRPr="00772686">
              <w:t xml:space="preserve"> (45 minutes, which includes the following two bullet points as well). </w:t>
            </w:r>
            <w:r w:rsidRPr="00772686">
              <w:rPr>
                <w:b/>
              </w:rPr>
              <w:t>(Coherence, Concentration, Context)</w:t>
            </w:r>
          </w:p>
          <w:p w14:paraId="5E8F5579" w14:textId="77777777" w:rsidR="00C44249" w:rsidRPr="00772686" w:rsidRDefault="00C44249" w:rsidP="00C44249">
            <w:pPr>
              <w:numPr>
                <w:ilvl w:val="0"/>
                <w:numId w:val="20"/>
              </w:numPr>
            </w:pPr>
            <w:r w:rsidRPr="00772686">
              <w:t xml:space="preserve">In this particular lesson, interacting with students will be done primarily through questioning and individual questioning/conferencing with students. </w:t>
            </w:r>
            <w:r w:rsidRPr="00772686">
              <w:rPr>
                <w:b/>
              </w:rPr>
              <w:t>(Coaching)</w:t>
            </w:r>
          </w:p>
          <w:p w14:paraId="3BCEEF74" w14:textId="15284EF6" w:rsidR="00C44249" w:rsidRPr="00772686" w:rsidRDefault="00C44249" w:rsidP="00C44249">
            <w:pPr>
              <w:numPr>
                <w:ilvl w:val="0"/>
                <w:numId w:val="20"/>
              </w:numPr>
            </w:pPr>
            <w:r w:rsidRPr="00772686">
              <w:t xml:space="preserve">Student expectations are clearly stated and written on the board for reference.  In addition, the tasks are listed </w:t>
            </w:r>
            <w:r w:rsidR="0058294D" w:rsidRPr="00772686">
              <w:t>in the Google Classroom</w:t>
            </w:r>
            <w:r w:rsidRPr="00772686">
              <w:t xml:space="preserve"> for students to access outside of class. </w:t>
            </w:r>
            <w:r w:rsidRPr="00772686">
              <w:rPr>
                <w:b/>
              </w:rPr>
              <w:t>(Coaching)</w:t>
            </w:r>
          </w:p>
          <w:p w14:paraId="0CC50F95" w14:textId="66233CE6" w:rsidR="00C44249" w:rsidRPr="00772686" w:rsidRDefault="00C44249" w:rsidP="00C44249">
            <w:pPr>
              <w:numPr>
                <w:ilvl w:val="0"/>
                <w:numId w:val="20"/>
              </w:numPr>
            </w:pPr>
            <w:r w:rsidRPr="00772686">
              <w:t xml:space="preserve">“Catch &amp; Release” will be used while students are working, which means that about every 10 minutes, I </w:t>
            </w:r>
            <w:r w:rsidR="00772686" w:rsidRPr="00772686">
              <w:t xml:space="preserve">will have students share out their POV statements before moving on the next source. Alternatively, </w:t>
            </w:r>
            <w:r w:rsidRPr="00772686">
              <w:t>I will ask if anyone is struggling</w:t>
            </w:r>
            <w:r w:rsidR="00772686" w:rsidRPr="00772686">
              <w:t xml:space="preserve"> in analyzing the source</w:t>
            </w:r>
            <w:r w:rsidRPr="00772686">
              <w:t>, which will allow students to help one another by offering their own examples</w:t>
            </w:r>
            <w:r w:rsidR="00772686" w:rsidRPr="00772686">
              <w:t xml:space="preserve"> within their group</w:t>
            </w:r>
            <w:r w:rsidRPr="00772686">
              <w:t xml:space="preserve">.  This will also help me determine who is struggling and who is excelling. </w:t>
            </w:r>
            <w:r w:rsidRPr="00772686">
              <w:rPr>
                <w:b/>
              </w:rPr>
              <w:t>(Connection, Coherence, Concentration, Coaching)</w:t>
            </w:r>
          </w:p>
          <w:p w14:paraId="77A33514" w14:textId="7E400C64" w:rsidR="00772686" w:rsidRPr="00772686" w:rsidRDefault="00C44249" w:rsidP="00772686">
            <w:pPr>
              <w:pStyle w:val="ListParagraph"/>
              <w:numPr>
                <w:ilvl w:val="0"/>
                <w:numId w:val="20"/>
              </w:numPr>
              <w:rPr>
                <w:rFonts w:ascii="Times New Roman" w:hAnsi="Times New Roman" w:cs="Times New Roman"/>
                <w:sz w:val="24"/>
                <w:szCs w:val="24"/>
              </w:rPr>
            </w:pPr>
            <w:r w:rsidRPr="00772686">
              <w:rPr>
                <w:rFonts w:ascii="Times New Roman" w:hAnsi="Times New Roman" w:cs="Times New Roman"/>
                <w:sz w:val="24"/>
                <w:szCs w:val="24"/>
              </w:rPr>
              <w:lastRenderedPageBreak/>
              <w:t xml:space="preserve">“Whip Around” (10 minutes) will be used to end the class period to assess student understanding or confusion. </w:t>
            </w:r>
            <w:r w:rsidRPr="00772686">
              <w:rPr>
                <w:rFonts w:ascii="Times New Roman" w:hAnsi="Times New Roman" w:cs="Times New Roman"/>
                <w:b/>
                <w:sz w:val="24"/>
                <w:szCs w:val="24"/>
              </w:rPr>
              <w:t>(Context</w:t>
            </w:r>
            <w:r w:rsidR="00772686">
              <w:rPr>
                <w:rFonts w:ascii="Times New Roman" w:hAnsi="Times New Roman" w:cs="Times New Roman"/>
                <w:b/>
                <w:sz w:val="24"/>
                <w:szCs w:val="24"/>
              </w:rPr>
              <w:t>)</w:t>
            </w:r>
          </w:p>
        </w:tc>
      </w:tr>
      <w:tr w:rsidR="00524882" w:rsidRPr="00772686" w14:paraId="7BFD6039" w14:textId="77777777" w:rsidTr="0058294D">
        <w:tc>
          <w:tcPr>
            <w:tcW w:w="11176" w:type="dxa"/>
            <w:gridSpan w:val="3"/>
            <w:shd w:val="pct10" w:color="auto" w:fill="auto"/>
          </w:tcPr>
          <w:p w14:paraId="461703E6" w14:textId="77777777" w:rsidR="00524882" w:rsidRPr="00772686" w:rsidRDefault="00524882" w:rsidP="003A12BD">
            <w:pPr>
              <w:jc w:val="center"/>
              <w:rPr>
                <w:b/>
              </w:rPr>
            </w:pPr>
            <w:r w:rsidRPr="00772686">
              <w:rPr>
                <w:b/>
              </w:rPr>
              <w:lastRenderedPageBreak/>
              <w:t>Stage 4 Feedback Strategies, including Timeliness (Module 5)</w:t>
            </w:r>
          </w:p>
        </w:tc>
      </w:tr>
      <w:tr w:rsidR="0058294D" w:rsidRPr="00772686" w14:paraId="2E3DFF2B" w14:textId="77777777" w:rsidTr="0058294D">
        <w:trPr>
          <w:trHeight w:val="2537"/>
        </w:trPr>
        <w:tc>
          <w:tcPr>
            <w:tcW w:w="11176" w:type="dxa"/>
            <w:gridSpan w:val="3"/>
          </w:tcPr>
          <w:p w14:paraId="413F84E9" w14:textId="40CAB2AE" w:rsidR="0058294D" w:rsidRPr="00772686" w:rsidRDefault="0058294D" w:rsidP="00E7118E">
            <w:r w:rsidRPr="00772686">
              <w:t>Students will know what they need to improve and work towards mastery by through…</w:t>
            </w:r>
            <w:r w:rsidRPr="00772686">
              <w:br/>
            </w:r>
          </w:p>
          <w:p w14:paraId="3CDAC66C" w14:textId="77777777" w:rsidR="0058294D" w:rsidRPr="00772686" w:rsidRDefault="0058294D" w:rsidP="0058294D">
            <w:pPr>
              <w:pStyle w:val="ListParagraph"/>
              <w:numPr>
                <w:ilvl w:val="0"/>
                <w:numId w:val="21"/>
              </w:numPr>
              <w:spacing w:after="0" w:line="240" w:lineRule="auto"/>
              <w:contextualSpacing/>
              <w:rPr>
                <w:rFonts w:ascii="Times New Roman" w:hAnsi="Times New Roman" w:cs="Times New Roman"/>
                <w:sz w:val="24"/>
                <w:szCs w:val="24"/>
              </w:rPr>
            </w:pPr>
            <w:r w:rsidRPr="00772686">
              <w:rPr>
                <w:rFonts w:ascii="Times New Roman" w:hAnsi="Times New Roman" w:cs="Times New Roman"/>
                <w:sz w:val="24"/>
                <w:szCs w:val="24"/>
              </w:rPr>
              <w:t xml:space="preserve">DBQ rubric </w:t>
            </w:r>
          </w:p>
          <w:p w14:paraId="2FFAFDAB" w14:textId="77777777" w:rsidR="0058294D" w:rsidRPr="00772686" w:rsidRDefault="0058294D" w:rsidP="0058294D">
            <w:pPr>
              <w:pStyle w:val="ListParagraph"/>
              <w:numPr>
                <w:ilvl w:val="0"/>
                <w:numId w:val="21"/>
              </w:numPr>
              <w:spacing w:after="0" w:line="240" w:lineRule="auto"/>
              <w:contextualSpacing/>
              <w:rPr>
                <w:rFonts w:ascii="Times New Roman" w:hAnsi="Times New Roman" w:cs="Times New Roman"/>
                <w:sz w:val="24"/>
                <w:szCs w:val="24"/>
              </w:rPr>
            </w:pPr>
            <w:r w:rsidRPr="00772686">
              <w:rPr>
                <w:rFonts w:ascii="Times New Roman" w:hAnsi="Times New Roman" w:cs="Times New Roman"/>
                <w:sz w:val="24"/>
                <w:szCs w:val="24"/>
              </w:rPr>
              <w:t>Comments from peers on practice DBQ</w:t>
            </w:r>
          </w:p>
          <w:p w14:paraId="4AE25A31" w14:textId="77777777" w:rsidR="0058294D" w:rsidRPr="00772686" w:rsidRDefault="0058294D" w:rsidP="0058294D">
            <w:pPr>
              <w:pStyle w:val="ListParagraph"/>
              <w:numPr>
                <w:ilvl w:val="0"/>
                <w:numId w:val="21"/>
              </w:numPr>
              <w:spacing w:after="0" w:line="240" w:lineRule="auto"/>
              <w:contextualSpacing/>
              <w:rPr>
                <w:rFonts w:ascii="Times New Roman" w:hAnsi="Times New Roman" w:cs="Times New Roman"/>
                <w:sz w:val="24"/>
                <w:szCs w:val="24"/>
              </w:rPr>
            </w:pPr>
            <w:r w:rsidRPr="00772686">
              <w:rPr>
                <w:rFonts w:ascii="Times New Roman" w:hAnsi="Times New Roman" w:cs="Times New Roman"/>
                <w:sz w:val="24"/>
                <w:szCs w:val="24"/>
              </w:rPr>
              <w:t>Teacher’s comments on POV statement practice paragraphs</w:t>
            </w:r>
          </w:p>
          <w:p w14:paraId="23CA05ED" w14:textId="77777777" w:rsidR="0058294D" w:rsidRPr="00772686" w:rsidRDefault="0058294D" w:rsidP="0058294D">
            <w:pPr>
              <w:pStyle w:val="ListParagraph"/>
              <w:numPr>
                <w:ilvl w:val="0"/>
                <w:numId w:val="21"/>
              </w:numPr>
              <w:spacing w:after="0" w:line="240" w:lineRule="auto"/>
              <w:contextualSpacing/>
              <w:rPr>
                <w:rFonts w:ascii="Times New Roman" w:hAnsi="Times New Roman" w:cs="Times New Roman"/>
                <w:sz w:val="24"/>
                <w:szCs w:val="24"/>
              </w:rPr>
            </w:pPr>
            <w:r w:rsidRPr="00772686">
              <w:rPr>
                <w:rFonts w:ascii="Times New Roman" w:hAnsi="Times New Roman" w:cs="Times New Roman"/>
                <w:sz w:val="24"/>
                <w:szCs w:val="24"/>
              </w:rPr>
              <w:t>One-on-one meetings with students during the drafting process</w:t>
            </w:r>
          </w:p>
          <w:p w14:paraId="4EB57EB0" w14:textId="77777777" w:rsidR="0058294D" w:rsidRPr="00772686" w:rsidRDefault="0058294D" w:rsidP="0058294D">
            <w:pPr>
              <w:pStyle w:val="ListParagraph"/>
              <w:spacing w:after="0" w:line="240" w:lineRule="auto"/>
              <w:contextualSpacing/>
              <w:rPr>
                <w:rFonts w:ascii="Times New Roman" w:hAnsi="Times New Roman" w:cs="Times New Roman"/>
                <w:sz w:val="24"/>
                <w:szCs w:val="24"/>
              </w:rPr>
            </w:pPr>
          </w:p>
          <w:p w14:paraId="68AAF82B" w14:textId="185207D4" w:rsidR="0058294D" w:rsidRPr="00772686" w:rsidRDefault="0058294D" w:rsidP="00E7118E">
            <w:pPr>
              <w:pStyle w:val="ListParagraph"/>
              <w:spacing w:after="0" w:line="240" w:lineRule="auto"/>
              <w:contextualSpacing/>
              <w:rPr>
                <w:rFonts w:ascii="Times New Roman" w:hAnsi="Times New Roman" w:cs="Times New Roman"/>
                <w:sz w:val="24"/>
                <w:szCs w:val="24"/>
              </w:rPr>
            </w:pPr>
          </w:p>
          <w:p w14:paraId="42616A76" w14:textId="747EAC62" w:rsidR="0058294D" w:rsidRPr="00772686" w:rsidRDefault="0058294D" w:rsidP="003A12BD">
            <w:r w:rsidRPr="00772686">
              <w:t xml:space="preserve">***After school opportunities will be given so students can conference individually for a more in depth look at their writing. </w:t>
            </w:r>
          </w:p>
        </w:tc>
      </w:tr>
    </w:tbl>
    <w:p w14:paraId="1B72E758" w14:textId="77777777" w:rsidR="00524882" w:rsidRPr="00772686" w:rsidRDefault="00524882" w:rsidP="00524882"/>
    <w:p w14:paraId="2221E2D4" w14:textId="77777777" w:rsidR="00524882" w:rsidRPr="00772686" w:rsidRDefault="00524882" w:rsidP="00524882"/>
    <w:p w14:paraId="0CE3C727" w14:textId="54146013" w:rsidR="00B10FD8" w:rsidRPr="00772686" w:rsidRDefault="00B10FD8" w:rsidP="00334E4C">
      <w:pPr>
        <w:pStyle w:val="Default"/>
        <w:spacing w:line="480" w:lineRule="auto"/>
        <w:rPr>
          <w:rFonts w:ascii="Times New Roman" w:hAnsi="Times New Roman" w:cs="Times New Roman"/>
          <w:bCs/>
        </w:rPr>
      </w:pPr>
    </w:p>
    <w:p w14:paraId="195BCE8E" w14:textId="77777777" w:rsidR="004A399A" w:rsidRPr="00772686" w:rsidRDefault="00E6312E" w:rsidP="00334E4C">
      <w:pPr>
        <w:pStyle w:val="Default"/>
        <w:spacing w:line="480" w:lineRule="auto"/>
        <w:rPr>
          <w:rFonts w:ascii="Times New Roman" w:hAnsi="Times New Roman" w:cs="Times New Roman"/>
          <w:bCs/>
        </w:rPr>
      </w:pPr>
      <w:r w:rsidRPr="00772686">
        <w:rPr>
          <w:rFonts w:ascii="Times New Roman" w:hAnsi="Times New Roman" w:cs="Times New Roman"/>
          <w:bCs/>
        </w:rPr>
        <w:tab/>
      </w:r>
    </w:p>
    <w:p w14:paraId="56767EFF" w14:textId="172E7D6A" w:rsidR="00B10FD8" w:rsidRPr="00772686" w:rsidRDefault="004A399A" w:rsidP="00AA7944">
      <w:pPr>
        <w:rPr>
          <w:bCs/>
          <w:color w:val="000000"/>
        </w:rPr>
      </w:pPr>
      <w:r w:rsidRPr="00772686">
        <w:rPr>
          <w:bCs/>
        </w:rPr>
        <w:br w:type="page"/>
      </w:r>
    </w:p>
    <w:p w14:paraId="1AF2F26D" w14:textId="77777777" w:rsidR="00030C32" w:rsidRPr="00772686" w:rsidRDefault="00030C32" w:rsidP="00B357B4">
      <w:pPr>
        <w:spacing w:line="480" w:lineRule="auto"/>
        <w:jc w:val="center"/>
        <w:rPr>
          <w:color w:val="000000" w:themeColor="text1"/>
        </w:rPr>
      </w:pPr>
      <w:r w:rsidRPr="00772686">
        <w:rPr>
          <w:color w:val="000000" w:themeColor="text1"/>
        </w:rPr>
        <w:lastRenderedPageBreak/>
        <w:t>References</w:t>
      </w:r>
    </w:p>
    <w:p w14:paraId="61FEE042" w14:textId="4047FAE1" w:rsidR="00FC7453" w:rsidRPr="00772686" w:rsidRDefault="00B357B4" w:rsidP="004A399A">
      <w:pPr>
        <w:spacing w:line="480" w:lineRule="auto"/>
        <w:rPr>
          <w:color w:val="000000" w:themeColor="text1"/>
        </w:rPr>
      </w:pPr>
      <w:r w:rsidRPr="00772686">
        <w:rPr>
          <w:color w:val="000000" w:themeColor="text1"/>
        </w:rPr>
        <w:t xml:space="preserve">Common Core State Standards Initiative. (2012). </w:t>
      </w:r>
      <w:r w:rsidR="00D7161B" w:rsidRPr="00772686">
        <w:rPr>
          <w:i/>
          <w:color w:val="000000" w:themeColor="text1"/>
        </w:rPr>
        <w:t>English Language Arts Standard</w:t>
      </w:r>
      <w:r w:rsidR="00FC7453" w:rsidRPr="00772686">
        <w:rPr>
          <w:i/>
          <w:color w:val="000000" w:themeColor="text1"/>
        </w:rPr>
        <w:t xml:space="preserve">s: </w:t>
      </w:r>
      <w:r w:rsidR="00FC7453" w:rsidRPr="00772686">
        <w:rPr>
          <w:i/>
          <w:color w:val="000000" w:themeColor="text1"/>
        </w:rPr>
        <w:br/>
        <w:t xml:space="preserve">           History/Social Studie</w:t>
      </w:r>
      <w:r w:rsidR="00D7161B" w:rsidRPr="00772686">
        <w:rPr>
          <w:i/>
          <w:color w:val="000000" w:themeColor="text1"/>
        </w:rPr>
        <w:t>s</w:t>
      </w:r>
      <w:r w:rsidR="00153955" w:rsidRPr="00772686">
        <w:rPr>
          <w:color w:val="000000" w:themeColor="text1"/>
        </w:rPr>
        <w:t xml:space="preserve">. Retrieved </w:t>
      </w:r>
      <w:r w:rsidR="00D7161B" w:rsidRPr="00772686">
        <w:rPr>
          <w:color w:val="000000" w:themeColor="text1"/>
        </w:rPr>
        <w:t xml:space="preserve">from </w:t>
      </w:r>
      <w:r w:rsidR="00FC7453" w:rsidRPr="00772686">
        <w:rPr>
          <w:color w:val="000000" w:themeColor="text1"/>
        </w:rPr>
        <w:t>http://www.corestandards.org/ELA-</w:t>
      </w:r>
      <w:r w:rsidR="00FC7453" w:rsidRPr="00772686">
        <w:rPr>
          <w:color w:val="000000" w:themeColor="text1"/>
        </w:rPr>
        <w:br/>
        <w:t xml:space="preserve">           Literacy/RH/9-10/</w:t>
      </w:r>
    </w:p>
    <w:p w14:paraId="5A754DE1" w14:textId="77777777" w:rsidR="00E4761C" w:rsidRPr="00772686" w:rsidRDefault="00B357B4" w:rsidP="004A399A">
      <w:pPr>
        <w:spacing w:line="480" w:lineRule="auto"/>
        <w:rPr>
          <w:color w:val="000000" w:themeColor="text1"/>
        </w:rPr>
      </w:pPr>
      <w:r w:rsidRPr="00772686">
        <w:rPr>
          <w:color w:val="000000" w:themeColor="text1"/>
        </w:rPr>
        <w:t xml:space="preserve">Goodwin, B &amp; Ross, E. (2013). </w:t>
      </w:r>
      <w:r w:rsidRPr="00772686">
        <w:rPr>
          <w:i/>
          <w:iCs/>
          <w:color w:val="000000" w:themeColor="text1"/>
        </w:rPr>
        <w:t xml:space="preserve">The Twelve Touchstones of Good Teaching. </w:t>
      </w:r>
      <w:r w:rsidRPr="00772686">
        <w:rPr>
          <w:color w:val="000000" w:themeColor="text1"/>
        </w:rPr>
        <w:t>Alexandria, VA</w:t>
      </w:r>
      <w:r w:rsidRPr="00772686">
        <w:rPr>
          <w:iCs/>
          <w:color w:val="000000" w:themeColor="text1"/>
        </w:rPr>
        <w:t>:</w:t>
      </w:r>
      <w:r w:rsidRPr="00772686">
        <w:rPr>
          <w:color w:val="000000" w:themeColor="text1"/>
        </w:rPr>
        <w:t xml:space="preserve"> </w:t>
      </w:r>
      <w:r w:rsidRPr="00772686">
        <w:rPr>
          <w:color w:val="000000" w:themeColor="text1"/>
        </w:rPr>
        <w:br/>
        <w:t xml:space="preserve">      </w:t>
      </w:r>
      <w:r w:rsidR="00D7161B" w:rsidRPr="00772686">
        <w:rPr>
          <w:color w:val="000000" w:themeColor="text1"/>
        </w:rPr>
        <w:t xml:space="preserve">      </w:t>
      </w:r>
      <w:r w:rsidRPr="00772686">
        <w:rPr>
          <w:color w:val="000000" w:themeColor="text1"/>
        </w:rPr>
        <w:t>ASCD.</w:t>
      </w:r>
    </w:p>
    <w:p w14:paraId="3307D363" w14:textId="39610325" w:rsidR="005F7D6E" w:rsidRPr="00772686" w:rsidRDefault="005F7D6E" w:rsidP="005F7D6E">
      <w:pPr>
        <w:spacing w:line="480" w:lineRule="auto"/>
        <w:rPr>
          <w:color w:val="000000" w:themeColor="text1"/>
        </w:rPr>
      </w:pPr>
      <w:r w:rsidRPr="00772686">
        <w:rPr>
          <w:color w:val="000000" w:themeColor="text1"/>
        </w:rPr>
        <w:t xml:space="preserve">Morse, Ogden. </w:t>
      </w:r>
      <w:r w:rsidRPr="00772686">
        <w:rPr>
          <w:i/>
          <w:color w:val="000000" w:themeColor="text1"/>
        </w:rPr>
        <w:t xml:space="preserve">AP Central. </w:t>
      </w:r>
      <w:r w:rsidRPr="00772686">
        <w:rPr>
          <w:i/>
          <w:color w:val="000000" w:themeColor="text1"/>
        </w:rPr>
        <w:br/>
      </w:r>
      <w:r w:rsidRPr="00772686">
        <w:rPr>
          <w:color w:val="000000" w:themeColor="text1"/>
        </w:rPr>
        <w:t xml:space="preserve">  </w:t>
      </w:r>
      <w:r w:rsidRPr="00772686">
        <w:rPr>
          <w:color w:val="000000" w:themeColor="text1"/>
        </w:rPr>
        <w:tab/>
        <w:t>http://apcentral.collegeboard.com/apc/public/preap/teachers_corner/45200.html</w:t>
      </w:r>
      <w:bookmarkStart w:id="1" w:name="e"/>
      <w:r w:rsidRPr="00772686">
        <w:rPr>
          <w:color w:val="000000" w:themeColor="text1"/>
        </w:rPr>
        <w:t xml:space="preserve"> (accessed </w:t>
      </w:r>
      <w:r w:rsidRPr="00772686">
        <w:rPr>
          <w:color w:val="000000" w:themeColor="text1"/>
        </w:rPr>
        <w:br/>
        <w:t xml:space="preserve"> </w:t>
      </w:r>
      <w:r w:rsidRPr="00772686">
        <w:rPr>
          <w:color w:val="000000" w:themeColor="text1"/>
        </w:rPr>
        <w:tab/>
        <w:t>June 21, 2017).</w:t>
      </w:r>
    </w:p>
    <w:p w14:paraId="1C9F8FE2" w14:textId="31A7FAC6" w:rsidR="00FB01E8" w:rsidRPr="00772686" w:rsidRDefault="00FB01E8" w:rsidP="00FB01E8">
      <w:pPr>
        <w:rPr>
          <w:rFonts w:eastAsia="Times New Roman"/>
          <w:color w:val="000000" w:themeColor="text1"/>
          <w:shd w:val="clear" w:color="auto" w:fill="FFFFFF"/>
        </w:rPr>
      </w:pPr>
      <w:r w:rsidRPr="00772686">
        <w:rPr>
          <w:rFonts w:eastAsia="Times New Roman"/>
          <w:color w:val="000000" w:themeColor="text1"/>
          <w:shd w:val="clear" w:color="auto" w:fill="FFFFFF"/>
        </w:rPr>
        <w:t xml:space="preserve">Lambert, K. 2012. Tools for Formative Assessment – Techniques to Check for Understanding – </w:t>
      </w:r>
      <w:r w:rsidRPr="00772686">
        <w:rPr>
          <w:rFonts w:eastAsia="Times New Roman"/>
          <w:color w:val="000000" w:themeColor="text1"/>
          <w:shd w:val="clear" w:color="auto" w:fill="FFFFFF"/>
        </w:rPr>
        <w:br/>
      </w:r>
      <w:r w:rsidRPr="00772686">
        <w:rPr>
          <w:rFonts w:eastAsia="Times New Roman"/>
          <w:color w:val="000000" w:themeColor="text1"/>
          <w:shd w:val="clear" w:color="auto" w:fill="FFFFFF"/>
        </w:rPr>
        <w:br/>
        <w:t xml:space="preserve">            Processing Activities. </w:t>
      </w:r>
      <w:r w:rsidRPr="00772686">
        <w:rPr>
          <w:rStyle w:val="Emphasis"/>
          <w:rFonts w:eastAsia="Times New Roman"/>
          <w:color w:val="000000" w:themeColor="text1"/>
          <w:shd w:val="clear" w:color="auto" w:fill="FFFFFF"/>
        </w:rPr>
        <w:t>OCPS Curriculum Services</w:t>
      </w:r>
      <w:r w:rsidRPr="00772686">
        <w:rPr>
          <w:rFonts w:eastAsia="Times New Roman"/>
          <w:color w:val="000000" w:themeColor="text1"/>
          <w:shd w:val="clear" w:color="auto" w:fill="FFFFFF"/>
        </w:rPr>
        <w:t xml:space="preserve">. </w:t>
      </w:r>
      <w:r w:rsidRPr="00772686">
        <w:rPr>
          <w:rFonts w:eastAsia="Times New Roman"/>
          <w:color w:val="000000" w:themeColor="text1"/>
          <w:shd w:val="clear" w:color="auto" w:fill="FFFFFF"/>
        </w:rPr>
        <w:br/>
        <w:t xml:space="preserve">    </w:t>
      </w:r>
      <w:r w:rsidRPr="00772686">
        <w:rPr>
          <w:rFonts w:eastAsia="Times New Roman"/>
          <w:color w:val="000000" w:themeColor="text1"/>
          <w:shd w:val="clear" w:color="auto" w:fill="FFFFFF"/>
        </w:rPr>
        <w:br/>
        <w:t xml:space="preserve">             http://www.levy.k12.fl.us/instruction/instructional_tools/60formativeassessment.pdf.</w:t>
      </w:r>
    </w:p>
    <w:p w14:paraId="5E4B6E9D" w14:textId="77777777" w:rsidR="00FB01E8" w:rsidRPr="00772686" w:rsidRDefault="00FB01E8" w:rsidP="005F7D6E">
      <w:pPr>
        <w:spacing w:line="480" w:lineRule="auto"/>
      </w:pPr>
    </w:p>
    <w:bookmarkEnd w:id="1"/>
    <w:p w14:paraId="6E41518E" w14:textId="77777777" w:rsidR="00772686" w:rsidRPr="00BC795E" w:rsidRDefault="00772686" w:rsidP="00772686">
      <w:pPr>
        <w:spacing w:line="480" w:lineRule="auto"/>
        <w:rPr>
          <w:rFonts w:eastAsia="Times New Roman"/>
        </w:rPr>
      </w:pPr>
      <w:r>
        <w:t xml:space="preserve">Tovani, C. (2011). </w:t>
      </w:r>
      <w:r>
        <w:rPr>
          <w:i/>
        </w:rPr>
        <w:t xml:space="preserve">So What Do They Really Know? </w:t>
      </w:r>
      <w:r>
        <w:t xml:space="preserve">Portland, ME: Stenhouse Publishers. </w:t>
      </w:r>
    </w:p>
    <w:p w14:paraId="4E248EB6" w14:textId="77777777" w:rsidR="0049438A" w:rsidRPr="00772686" w:rsidRDefault="0049438A" w:rsidP="004A399A">
      <w:pPr>
        <w:spacing w:line="480" w:lineRule="auto"/>
      </w:pPr>
    </w:p>
    <w:p w14:paraId="6B83CC35" w14:textId="77777777" w:rsidR="0049438A" w:rsidRPr="00772686" w:rsidRDefault="0049438A" w:rsidP="004A399A">
      <w:pPr>
        <w:spacing w:line="480" w:lineRule="auto"/>
      </w:pPr>
    </w:p>
    <w:p w14:paraId="613997C3" w14:textId="77777777" w:rsidR="00B357B4" w:rsidRPr="00772686" w:rsidRDefault="00B357B4" w:rsidP="00B357B4">
      <w:pPr>
        <w:spacing w:line="480" w:lineRule="auto"/>
      </w:pPr>
    </w:p>
    <w:sectPr w:rsidR="00B357B4" w:rsidRPr="00772686" w:rsidSect="00E74CC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32DA8" w14:textId="77777777" w:rsidR="005040AE" w:rsidRDefault="005040AE" w:rsidP="00E4761C">
      <w:r>
        <w:separator/>
      </w:r>
    </w:p>
  </w:endnote>
  <w:endnote w:type="continuationSeparator" w:id="0">
    <w:p w14:paraId="065212AF" w14:textId="77777777" w:rsidR="005040AE" w:rsidRDefault="005040AE" w:rsidP="00E4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125EB" w14:textId="77777777" w:rsidR="005040AE" w:rsidRDefault="005040AE" w:rsidP="00E4761C">
      <w:r>
        <w:separator/>
      </w:r>
    </w:p>
  </w:footnote>
  <w:footnote w:type="continuationSeparator" w:id="0">
    <w:p w14:paraId="62FD51D8" w14:textId="77777777" w:rsidR="005040AE" w:rsidRDefault="005040AE" w:rsidP="00E47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E570" w14:textId="038D8E99" w:rsidR="00260441" w:rsidRPr="00593C2C" w:rsidRDefault="00B0601E" w:rsidP="00260441">
    <w:pPr>
      <w:pStyle w:val="Header"/>
      <w:rPr>
        <w:rFonts w:ascii="Times New Roman" w:hAnsi="Times New Roman" w:cs="Times New Roman"/>
        <w:sz w:val="24"/>
        <w:szCs w:val="24"/>
      </w:rPr>
    </w:pPr>
    <w:r>
      <w:rPr>
        <w:rFonts w:ascii="Times New Roman" w:hAnsi="Times New Roman" w:cs="Times New Roman"/>
        <w:sz w:val="24"/>
        <w:szCs w:val="24"/>
      </w:rPr>
      <w:t>DBQ Unit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2533" w14:textId="4FFF0364" w:rsidR="00B0601E" w:rsidRDefault="00E8170F">
    <w:pPr>
      <w:pStyle w:val="Header"/>
      <w:rPr>
        <w:rFonts w:ascii="Times New Roman" w:hAnsi="Times New Roman" w:cs="Times New Roman"/>
        <w:sz w:val="24"/>
        <w:szCs w:val="24"/>
      </w:rPr>
    </w:pPr>
    <w:r>
      <w:rPr>
        <w:rFonts w:ascii="Times New Roman" w:hAnsi="Times New Roman" w:cs="Times New Roman"/>
        <w:sz w:val="24"/>
        <w:szCs w:val="24"/>
      </w:rPr>
      <w:t>Document Based Question Analysis Unit Plan</w:t>
    </w:r>
  </w:p>
  <w:p w14:paraId="332C8921" w14:textId="47D2D9A3" w:rsidR="00E74CCC" w:rsidRPr="00466FD3" w:rsidRDefault="00466FD3">
    <w:pPr>
      <w:pStyle w:val="Header"/>
      <w:rPr>
        <w:rFonts w:ascii="Times New Roman" w:hAnsi="Times New Roman" w:cs="Times New Roman"/>
        <w:sz w:val="24"/>
        <w:szCs w:val="24"/>
      </w:rPr>
    </w:pPr>
    <w:r>
      <w:rPr>
        <w:rFonts w:ascii="Times New Roman" w:hAnsi="Times New Roman" w:cs="Times New Roman"/>
        <w:sz w:val="24"/>
        <w:szCs w:val="24"/>
      </w:rPr>
      <w:tab/>
    </w:r>
    <w:r w:rsidRPr="00466FD3">
      <w:rPr>
        <w:rFonts w:ascii="Times New Roman" w:hAnsi="Times New Roman" w:cs="Times New Roman"/>
        <w:sz w:val="24"/>
        <w:szCs w:val="24"/>
      </w:rPr>
      <w:fldChar w:fldCharType="begin"/>
    </w:r>
    <w:r w:rsidRPr="00466FD3">
      <w:rPr>
        <w:rFonts w:ascii="Times New Roman" w:hAnsi="Times New Roman" w:cs="Times New Roman"/>
        <w:sz w:val="24"/>
        <w:szCs w:val="24"/>
      </w:rPr>
      <w:instrText xml:space="preserve"> PAGE   \* MERGEFORMAT </w:instrText>
    </w:r>
    <w:r w:rsidRPr="00466FD3">
      <w:rPr>
        <w:rFonts w:ascii="Times New Roman" w:hAnsi="Times New Roman" w:cs="Times New Roman"/>
        <w:sz w:val="24"/>
        <w:szCs w:val="24"/>
      </w:rPr>
      <w:fldChar w:fldCharType="separate"/>
    </w:r>
    <w:r w:rsidR="00590B0D">
      <w:rPr>
        <w:rFonts w:ascii="Times New Roman" w:hAnsi="Times New Roman" w:cs="Times New Roman"/>
        <w:noProof/>
        <w:sz w:val="24"/>
        <w:szCs w:val="24"/>
      </w:rPr>
      <w:t>1</w:t>
    </w:r>
    <w:r w:rsidRPr="00466FD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3439"/>
    <w:multiLevelType w:val="hybridMultilevel"/>
    <w:tmpl w:val="8ADC9FF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C85D2F"/>
    <w:multiLevelType w:val="hybridMultilevel"/>
    <w:tmpl w:val="54B897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220A1FCE"/>
    <w:multiLevelType w:val="hybridMultilevel"/>
    <w:tmpl w:val="BEF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3BE2"/>
    <w:multiLevelType w:val="hybridMultilevel"/>
    <w:tmpl w:val="05E8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14305C"/>
    <w:multiLevelType w:val="hybridMultilevel"/>
    <w:tmpl w:val="0CD0F6D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348B763B"/>
    <w:multiLevelType w:val="hybridMultilevel"/>
    <w:tmpl w:val="F3F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E4836"/>
    <w:multiLevelType w:val="hybridMultilevel"/>
    <w:tmpl w:val="08B2DC2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48176D45"/>
    <w:multiLevelType w:val="hybridMultilevel"/>
    <w:tmpl w:val="7D8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174BD"/>
    <w:multiLevelType w:val="hybridMultilevel"/>
    <w:tmpl w:val="762C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9363AE"/>
    <w:multiLevelType w:val="hybridMultilevel"/>
    <w:tmpl w:val="C7C2F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2F14011"/>
    <w:multiLevelType w:val="hybridMultilevel"/>
    <w:tmpl w:val="8BB66B98"/>
    <w:lvl w:ilvl="0" w:tplc="04090001">
      <w:start w:val="1"/>
      <w:numFmt w:val="bullet"/>
      <w:lvlText w:val=""/>
      <w:lvlJc w:val="left"/>
      <w:pPr>
        <w:ind w:left="1080" w:hanging="360"/>
      </w:pPr>
      <w:rPr>
        <w:rFonts w:ascii="Symbol" w:hAnsi="Symbol" w:hint="default"/>
      </w:rPr>
    </w:lvl>
    <w:lvl w:ilvl="1" w:tplc="476A4282">
      <w:numFmt w:val="bullet"/>
      <w:lvlText w:val="·"/>
      <w:lvlJc w:val="left"/>
      <w:pPr>
        <w:ind w:left="1815" w:hanging="375"/>
      </w:pPr>
      <w:rPr>
        <w:rFonts w:ascii="Times New Roman" w:eastAsia="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FC6472"/>
    <w:multiLevelType w:val="hybridMultilevel"/>
    <w:tmpl w:val="835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256CA"/>
    <w:multiLevelType w:val="hybridMultilevel"/>
    <w:tmpl w:val="939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966975"/>
    <w:multiLevelType w:val="hybridMultilevel"/>
    <w:tmpl w:val="08C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82051"/>
    <w:multiLevelType w:val="hybridMultilevel"/>
    <w:tmpl w:val="F09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21367"/>
    <w:multiLevelType w:val="hybridMultilevel"/>
    <w:tmpl w:val="21E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805D0"/>
    <w:multiLevelType w:val="hybridMultilevel"/>
    <w:tmpl w:val="67C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B69C0"/>
    <w:multiLevelType w:val="hybridMultilevel"/>
    <w:tmpl w:val="7BD8A5EA"/>
    <w:lvl w:ilvl="0" w:tplc="96E08568">
      <w:numFmt w:val="bullet"/>
      <w:lvlText w:val="·"/>
      <w:lvlJc w:val="left"/>
      <w:pPr>
        <w:ind w:left="765" w:hanging="360"/>
      </w:pPr>
      <w:rPr>
        <w:rFonts w:ascii="Times New Roman" w:eastAsia="Times New Roman"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0E56E3"/>
    <w:multiLevelType w:val="hybridMultilevel"/>
    <w:tmpl w:val="364C5C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EE90E26"/>
    <w:multiLevelType w:val="hybridMultilevel"/>
    <w:tmpl w:val="F1865DAA"/>
    <w:lvl w:ilvl="0" w:tplc="96E08568">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5"/>
  </w:num>
  <w:num w:numId="2">
    <w:abstractNumId w:val="11"/>
  </w:num>
  <w:num w:numId="3">
    <w:abstractNumId w:val="13"/>
  </w:num>
  <w:num w:numId="4">
    <w:abstractNumId w:val="18"/>
  </w:num>
  <w:num w:numId="5">
    <w:abstractNumId w:val="20"/>
  </w:num>
  <w:num w:numId="6">
    <w:abstractNumId w:val="6"/>
  </w:num>
  <w:num w:numId="7">
    <w:abstractNumId w:val="7"/>
  </w:num>
  <w:num w:numId="8">
    <w:abstractNumId w:val="14"/>
  </w:num>
  <w:num w:numId="9">
    <w:abstractNumId w:val="5"/>
  </w:num>
  <w:num w:numId="10">
    <w:abstractNumId w:val="3"/>
  </w:num>
  <w:num w:numId="11">
    <w:abstractNumId w:val="19"/>
  </w:num>
  <w:num w:numId="12">
    <w:abstractNumId w:val="4"/>
  </w:num>
  <w:num w:numId="13">
    <w:abstractNumId w:val="1"/>
  </w:num>
  <w:num w:numId="14">
    <w:abstractNumId w:val="2"/>
  </w:num>
  <w:num w:numId="15">
    <w:abstractNumId w:val="17"/>
  </w:num>
  <w:num w:numId="16">
    <w:abstractNumId w:val="10"/>
  </w:num>
  <w:num w:numId="17">
    <w:abstractNumId w:val="8"/>
  </w:num>
  <w:num w:numId="18">
    <w:abstractNumId w:val="9"/>
  </w:num>
  <w:num w:numId="19">
    <w:abstractNumId w:val="16"/>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1C"/>
    <w:rsid w:val="0000157C"/>
    <w:rsid w:val="00026F26"/>
    <w:rsid w:val="00030C32"/>
    <w:rsid w:val="00037ACF"/>
    <w:rsid w:val="000C64C8"/>
    <w:rsid w:val="000D23D2"/>
    <w:rsid w:val="000E6503"/>
    <w:rsid w:val="001040EC"/>
    <w:rsid w:val="00120B21"/>
    <w:rsid w:val="00153955"/>
    <w:rsid w:val="00181D80"/>
    <w:rsid w:val="002055AC"/>
    <w:rsid w:val="00210C36"/>
    <w:rsid w:val="00214EDA"/>
    <w:rsid w:val="002533B0"/>
    <w:rsid w:val="00260441"/>
    <w:rsid w:val="00277D83"/>
    <w:rsid w:val="002A6950"/>
    <w:rsid w:val="002B0579"/>
    <w:rsid w:val="002B3601"/>
    <w:rsid w:val="002E6740"/>
    <w:rsid w:val="002F60A3"/>
    <w:rsid w:val="00321B2E"/>
    <w:rsid w:val="00334E4C"/>
    <w:rsid w:val="00361531"/>
    <w:rsid w:val="003F1E79"/>
    <w:rsid w:val="00405C93"/>
    <w:rsid w:val="00414E29"/>
    <w:rsid w:val="00425E38"/>
    <w:rsid w:val="00431397"/>
    <w:rsid w:val="004575E9"/>
    <w:rsid w:val="00466FD3"/>
    <w:rsid w:val="0049438A"/>
    <w:rsid w:val="004A399A"/>
    <w:rsid w:val="00502468"/>
    <w:rsid w:val="005040AE"/>
    <w:rsid w:val="00521C96"/>
    <w:rsid w:val="00524882"/>
    <w:rsid w:val="005533BC"/>
    <w:rsid w:val="0056095C"/>
    <w:rsid w:val="00572B2D"/>
    <w:rsid w:val="0058294D"/>
    <w:rsid w:val="00590B0D"/>
    <w:rsid w:val="00593C2C"/>
    <w:rsid w:val="005D1C96"/>
    <w:rsid w:val="005F5377"/>
    <w:rsid w:val="005F7D6E"/>
    <w:rsid w:val="00602ECF"/>
    <w:rsid w:val="0062184A"/>
    <w:rsid w:val="0064057C"/>
    <w:rsid w:val="00642947"/>
    <w:rsid w:val="00645E2D"/>
    <w:rsid w:val="00675DD1"/>
    <w:rsid w:val="00723E33"/>
    <w:rsid w:val="00756F0C"/>
    <w:rsid w:val="00766546"/>
    <w:rsid w:val="00772686"/>
    <w:rsid w:val="00774887"/>
    <w:rsid w:val="007E19D1"/>
    <w:rsid w:val="007E3234"/>
    <w:rsid w:val="00800CD8"/>
    <w:rsid w:val="008171AF"/>
    <w:rsid w:val="00853FA9"/>
    <w:rsid w:val="00855C20"/>
    <w:rsid w:val="00861C48"/>
    <w:rsid w:val="00873730"/>
    <w:rsid w:val="00883029"/>
    <w:rsid w:val="0089722C"/>
    <w:rsid w:val="008C4264"/>
    <w:rsid w:val="008D383B"/>
    <w:rsid w:val="008D562B"/>
    <w:rsid w:val="008E12CF"/>
    <w:rsid w:val="008E3676"/>
    <w:rsid w:val="008E5298"/>
    <w:rsid w:val="00904BF9"/>
    <w:rsid w:val="00940874"/>
    <w:rsid w:val="00953DA0"/>
    <w:rsid w:val="00957BDF"/>
    <w:rsid w:val="009B5B1F"/>
    <w:rsid w:val="009E22C9"/>
    <w:rsid w:val="00A54FBA"/>
    <w:rsid w:val="00AA7944"/>
    <w:rsid w:val="00AC5CBF"/>
    <w:rsid w:val="00AD2661"/>
    <w:rsid w:val="00AD63B2"/>
    <w:rsid w:val="00AE627D"/>
    <w:rsid w:val="00B0601E"/>
    <w:rsid w:val="00B10FD8"/>
    <w:rsid w:val="00B357B4"/>
    <w:rsid w:val="00B51EAC"/>
    <w:rsid w:val="00B56D29"/>
    <w:rsid w:val="00B70437"/>
    <w:rsid w:val="00B767A4"/>
    <w:rsid w:val="00B95738"/>
    <w:rsid w:val="00C21AFB"/>
    <w:rsid w:val="00C34A52"/>
    <w:rsid w:val="00C44249"/>
    <w:rsid w:val="00C54C71"/>
    <w:rsid w:val="00C56F8C"/>
    <w:rsid w:val="00C641EE"/>
    <w:rsid w:val="00C70CC1"/>
    <w:rsid w:val="00C809E7"/>
    <w:rsid w:val="00C810BF"/>
    <w:rsid w:val="00C94966"/>
    <w:rsid w:val="00CA749D"/>
    <w:rsid w:val="00CB6605"/>
    <w:rsid w:val="00CD6FC1"/>
    <w:rsid w:val="00CF3F7D"/>
    <w:rsid w:val="00D211AE"/>
    <w:rsid w:val="00D62020"/>
    <w:rsid w:val="00D67183"/>
    <w:rsid w:val="00D7161B"/>
    <w:rsid w:val="00DA1A80"/>
    <w:rsid w:val="00DA77DD"/>
    <w:rsid w:val="00DB5283"/>
    <w:rsid w:val="00DD4860"/>
    <w:rsid w:val="00E23645"/>
    <w:rsid w:val="00E24148"/>
    <w:rsid w:val="00E4761C"/>
    <w:rsid w:val="00E47F57"/>
    <w:rsid w:val="00E6312E"/>
    <w:rsid w:val="00E74CCC"/>
    <w:rsid w:val="00E77DE2"/>
    <w:rsid w:val="00E8170F"/>
    <w:rsid w:val="00E82A6D"/>
    <w:rsid w:val="00EA2C5B"/>
    <w:rsid w:val="00EA563F"/>
    <w:rsid w:val="00F30A56"/>
    <w:rsid w:val="00F46DF3"/>
    <w:rsid w:val="00F61329"/>
    <w:rsid w:val="00F73D03"/>
    <w:rsid w:val="00F74504"/>
    <w:rsid w:val="00F83DE9"/>
    <w:rsid w:val="00FB01E8"/>
    <w:rsid w:val="00FC6D1B"/>
    <w:rsid w:val="00FC74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E6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unhideWhenUsed/>
    <w:rsid w:val="00E4761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4761C"/>
  </w:style>
  <w:style w:type="character" w:styleId="Hyperlink">
    <w:name w:val="Hyperlink"/>
    <w:basedOn w:val="DefaultParagraphFont"/>
    <w:unhideWhenUsed/>
    <w:rsid w:val="00425E38"/>
    <w:rPr>
      <w:color w:val="0000FF"/>
      <w:u w:val="single"/>
    </w:rPr>
  </w:style>
  <w:style w:type="paragraph" w:customStyle="1" w:styleId="Default">
    <w:name w:val="Default"/>
    <w:rsid w:val="00E241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3730"/>
    <w:pPr>
      <w:spacing w:after="200" w:line="276" w:lineRule="auto"/>
      <w:ind w:left="720"/>
    </w:pPr>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basedOn w:val="CommentText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rPr>
      <w:rFonts w:ascii="Tahoma" w:hAnsi="Tahoma" w:cs="Tahoma"/>
      <w:sz w:val="16"/>
      <w:szCs w:val="16"/>
    </w:rPr>
  </w:style>
  <w:style w:type="character" w:customStyle="1" w:styleId="BalloonTextChar">
    <w:name w:val="Balloon Text Char"/>
    <w:basedOn w:val="DefaultParagraphFont"/>
    <w:link w:val="BalloonText"/>
    <w:uiPriority w:val="99"/>
    <w:semiHidden/>
    <w:rsid w:val="00766546"/>
    <w:rPr>
      <w:rFonts w:ascii="Tahoma" w:hAnsi="Tahoma" w:cs="Tahoma"/>
      <w:sz w:val="16"/>
      <w:szCs w:val="16"/>
    </w:rPr>
  </w:style>
  <w:style w:type="paragraph" w:styleId="NormalWeb">
    <w:name w:val="Normal (Web)"/>
    <w:basedOn w:val="Normal"/>
    <w:uiPriority w:val="99"/>
    <w:rsid w:val="007E19D1"/>
    <w:pPr>
      <w:spacing w:before="100" w:beforeAutospacing="1" w:after="100" w:afterAutospacing="1"/>
    </w:pPr>
    <w:rPr>
      <w:rFonts w:eastAsia="Times New Roman"/>
    </w:rPr>
  </w:style>
  <w:style w:type="paragraph" w:customStyle="1" w:styleId="body-paragraph2">
    <w:name w:val="body-paragraph2"/>
    <w:basedOn w:val="Normal"/>
    <w:rsid w:val="00030C32"/>
    <w:pPr>
      <w:ind w:left="720" w:hanging="720"/>
    </w:pPr>
    <w:rPr>
      <w:rFonts w:eastAsia="Times New Roman"/>
    </w:rPr>
  </w:style>
  <w:style w:type="character" w:customStyle="1" w:styleId="fnt0">
    <w:name w:val="fnt0"/>
    <w:basedOn w:val="DefaultParagraphFont"/>
    <w:rsid w:val="000D23D2"/>
    <w:rPr>
      <w:color w:val="000000"/>
      <w:shd w:val="clear" w:color="auto" w:fill="FFFFFF"/>
    </w:rPr>
  </w:style>
  <w:style w:type="character" w:customStyle="1" w:styleId="apple-converted-space">
    <w:name w:val="apple-converted-space"/>
    <w:basedOn w:val="DefaultParagraphFont"/>
    <w:rsid w:val="005F7D6E"/>
  </w:style>
  <w:style w:type="character" w:styleId="Emphasis">
    <w:name w:val="Emphasis"/>
    <w:basedOn w:val="DefaultParagraphFont"/>
    <w:uiPriority w:val="20"/>
    <w:qFormat/>
    <w:rsid w:val="00FB01E8"/>
    <w:rPr>
      <w:i/>
      <w:iCs/>
    </w:rPr>
  </w:style>
  <w:style w:type="table" w:styleId="TableGrid">
    <w:name w:val="Table Grid"/>
    <w:basedOn w:val="TableNormal"/>
    <w:uiPriority w:val="59"/>
    <w:rsid w:val="0012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7058">
      <w:bodyDiv w:val="1"/>
      <w:marLeft w:val="0"/>
      <w:marRight w:val="0"/>
      <w:marTop w:val="0"/>
      <w:marBottom w:val="0"/>
      <w:divBdr>
        <w:top w:val="none" w:sz="0" w:space="0" w:color="auto"/>
        <w:left w:val="none" w:sz="0" w:space="0" w:color="auto"/>
        <w:bottom w:val="none" w:sz="0" w:space="0" w:color="auto"/>
        <w:right w:val="none" w:sz="0" w:space="0" w:color="auto"/>
      </w:divBdr>
    </w:div>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0560">
      <w:bodyDiv w:val="1"/>
      <w:marLeft w:val="0"/>
      <w:marRight w:val="0"/>
      <w:marTop w:val="0"/>
      <w:marBottom w:val="0"/>
      <w:divBdr>
        <w:top w:val="none" w:sz="0" w:space="0" w:color="auto"/>
        <w:left w:val="none" w:sz="0" w:space="0" w:color="auto"/>
        <w:bottom w:val="none" w:sz="0" w:space="0" w:color="auto"/>
        <w:right w:val="none" w:sz="0" w:space="0" w:color="auto"/>
      </w:divBdr>
      <w:divsChild>
        <w:div w:id="987436766">
          <w:marLeft w:val="0"/>
          <w:marRight w:val="0"/>
          <w:marTop w:val="0"/>
          <w:marBottom w:val="0"/>
          <w:divBdr>
            <w:top w:val="none" w:sz="0" w:space="0" w:color="auto"/>
            <w:left w:val="none" w:sz="0" w:space="0" w:color="auto"/>
            <w:bottom w:val="none" w:sz="0" w:space="0" w:color="auto"/>
            <w:right w:val="none" w:sz="0" w:space="0" w:color="auto"/>
          </w:divBdr>
          <w:divsChild>
            <w:div w:id="181673667">
              <w:marLeft w:val="0"/>
              <w:marRight w:val="0"/>
              <w:marTop w:val="0"/>
              <w:marBottom w:val="0"/>
              <w:divBdr>
                <w:top w:val="none" w:sz="0" w:space="0" w:color="auto"/>
                <w:left w:val="none" w:sz="0" w:space="0" w:color="auto"/>
                <w:bottom w:val="none" w:sz="0" w:space="0" w:color="auto"/>
                <w:right w:val="none" w:sz="0" w:space="0" w:color="auto"/>
              </w:divBdr>
            </w:div>
            <w:div w:id="9935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340">
      <w:bodyDiv w:val="1"/>
      <w:marLeft w:val="0"/>
      <w:marRight w:val="0"/>
      <w:marTop w:val="0"/>
      <w:marBottom w:val="0"/>
      <w:divBdr>
        <w:top w:val="none" w:sz="0" w:space="0" w:color="auto"/>
        <w:left w:val="none" w:sz="0" w:space="0" w:color="auto"/>
        <w:bottom w:val="none" w:sz="0" w:space="0" w:color="auto"/>
        <w:right w:val="none" w:sz="0" w:space="0" w:color="auto"/>
      </w:divBdr>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637F0D-867D-B94E-96D0-E7003054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1468</Words>
  <Characters>8374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CSU-Global</dc:creator>
  <cp:lastModifiedBy>Microsoft Office User</cp:lastModifiedBy>
  <cp:revision>13</cp:revision>
  <dcterms:created xsi:type="dcterms:W3CDTF">2017-06-17T20:06:00Z</dcterms:created>
  <dcterms:modified xsi:type="dcterms:W3CDTF">2017-07-30T23:28:00Z</dcterms:modified>
</cp:coreProperties>
</file>